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top w:w="57" w:type="dxa"/>
          <w:left w:w="85" w:type="dxa"/>
          <w:bottom w:w="57" w:type="dxa"/>
          <w:right w:w="85" w:type="dxa"/>
        </w:tblCellMar>
        <w:tblLook w:val="0000" w:firstRow="0" w:lastRow="0" w:firstColumn="0" w:lastColumn="0" w:noHBand="0" w:noVBand="0"/>
      </w:tblPr>
      <w:tblGrid>
        <w:gridCol w:w="3434"/>
        <w:gridCol w:w="4221"/>
        <w:gridCol w:w="3119"/>
      </w:tblGrid>
      <w:tr w:rsidR="00145E2C" w:rsidRPr="00B96775" w14:paraId="0B5FB51E" w14:textId="77777777" w:rsidTr="00480AB2">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4CABA1A4" w14:textId="77777777" w:rsidR="00145E2C" w:rsidRPr="00B96775" w:rsidRDefault="00145E2C" w:rsidP="00B96775">
            <w:pPr>
              <w:pStyle w:val="Ttulo2"/>
              <w:ind w:right="72"/>
              <w:jc w:val="left"/>
              <w:rPr>
                <w:rFonts w:ascii="Arial Narrow" w:hAnsi="Arial Narrow" w:cs="Arial"/>
                <w:bCs/>
                <w:color w:val="FFFFFF"/>
                <w:sz w:val="22"/>
                <w:szCs w:val="22"/>
              </w:rPr>
            </w:pPr>
            <w:r w:rsidRPr="00B96775">
              <w:rPr>
                <w:rFonts w:ascii="Arial Narrow" w:hAnsi="Arial Narrow" w:cs="Arial"/>
                <w:color w:val="FFFFFF"/>
                <w:sz w:val="22"/>
                <w:szCs w:val="22"/>
                <w:lang w:val="es-CO"/>
              </w:rPr>
              <w:t>Entidad originadora:</w:t>
            </w:r>
          </w:p>
        </w:tc>
        <w:tc>
          <w:tcPr>
            <w:tcW w:w="7340" w:type="dxa"/>
            <w:gridSpan w:val="2"/>
            <w:tcBorders>
              <w:top w:val="single" w:sz="4" w:space="0" w:color="auto"/>
              <w:left w:val="single" w:sz="4" w:space="0" w:color="auto"/>
              <w:bottom w:val="single" w:sz="4" w:space="0" w:color="auto"/>
            </w:tcBorders>
            <w:shd w:val="clear" w:color="auto" w:fill="FFFFFF"/>
          </w:tcPr>
          <w:p w14:paraId="6F64DC2E" w14:textId="77777777" w:rsidR="00145E2C" w:rsidRPr="009F08C4" w:rsidRDefault="00145E2C" w:rsidP="00145E2C">
            <w:pPr>
              <w:pStyle w:val="Ttulo2"/>
              <w:ind w:left="72" w:right="72"/>
              <w:jc w:val="left"/>
              <w:rPr>
                <w:rFonts w:ascii="Arial Narrow" w:hAnsi="Arial Narrow" w:cs="Arial"/>
                <w:b w:val="0"/>
                <w:bCs/>
                <w:i/>
                <w:color w:val="808080"/>
                <w:sz w:val="22"/>
                <w:szCs w:val="22"/>
              </w:rPr>
            </w:pPr>
            <w:r w:rsidRPr="009F08C4">
              <w:rPr>
                <w:rFonts w:ascii="Arial Narrow" w:hAnsi="Arial Narrow"/>
                <w:b w:val="0"/>
                <w:bCs/>
                <w:sz w:val="22"/>
                <w:szCs w:val="22"/>
              </w:rPr>
              <w:t>Ministerio de Ambiente y Desarrollo Sostenible.</w:t>
            </w:r>
          </w:p>
        </w:tc>
      </w:tr>
      <w:tr w:rsidR="00145E2C" w:rsidRPr="00B96775" w14:paraId="4B88E4F2" w14:textId="77777777" w:rsidTr="00480AB2">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71B402A8" w14:textId="1F61A36A" w:rsidR="00145E2C" w:rsidRPr="00B96775" w:rsidRDefault="00145E2C" w:rsidP="00B96775">
            <w:pPr>
              <w:pStyle w:val="Ttulo2"/>
              <w:ind w:right="72"/>
              <w:jc w:val="left"/>
              <w:rPr>
                <w:rFonts w:ascii="Arial Narrow" w:hAnsi="Arial Narrow" w:cs="Arial"/>
                <w:bCs/>
                <w:color w:val="FFFFFF"/>
                <w:sz w:val="22"/>
                <w:szCs w:val="22"/>
              </w:rPr>
            </w:pPr>
            <w:r w:rsidRPr="00B96775">
              <w:rPr>
                <w:rFonts w:ascii="Arial Narrow" w:hAnsi="Arial Narrow" w:cs="Arial"/>
                <w:bCs/>
                <w:color w:val="FFFFFF"/>
                <w:sz w:val="22"/>
                <w:szCs w:val="22"/>
              </w:rPr>
              <w:t>Fecha (</w:t>
            </w:r>
            <w:proofErr w:type="spellStart"/>
            <w:r w:rsidRPr="00B96775">
              <w:rPr>
                <w:rFonts w:ascii="Arial Narrow" w:hAnsi="Arial Narrow" w:cs="Arial"/>
                <w:bCs/>
                <w:color w:val="FFFFFF"/>
                <w:sz w:val="22"/>
                <w:szCs w:val="22"/>
              </w:rPr>
              <w:t>dd</w:t>
            </w:r>
            <w:proofErr w:type="spellEnd"/>
            <w:r w:rsidRPr="00B96775">
              <w:rPr>
                <w:rFonts w:ascii="Arial Narrow" w:hAnsi="Arial Narrow" w:cs="Arial"/>
                <w:bCs/>
                <w:color w:val="FFFFFF"/>
                <w:sz w:val="22"/>
                <w:szCs w:val="22"/>
              </w:rPr>
              <w:t>/mm/</w:t>
            </w:r>
            <w:proofErr w:type="spellStart"/>
            <w:r w:rsidRPr="00B96775">
              <w:rPr>
                <w:rFonts w:ascii="Arial Narrow" w:hAnsi="Arial Narrow" w:cs="Arial"/>
                <w:bCs/>
                <w:color w:val="FFFFFF"/>
                <w:sz w:val="22"/>
                <w:szCs w:val="22"/>
              </w:rPr>
              <w:t>aa</w:t>
            </w:r>
            <w:proofErr w:type="spellEnd"/>
            <w:r w:rsidRPr="00B96775">
              <w:rPr>
                <w:rFonts w:ascii="Arial Narrow" w:hAnsi="Arial Narrow" w:cs="Arial"/>
                <w:bCs/>
                <w:color w:val="FFFFFF"/>
                <w:sz w:val="22"/>
                <w:szCs w:val="22"/>
              </w:rPr>
              <w:t>):</w:t>
            </w:r>
            <w:r w:rsidR="00947BCF" w:rsidRPr="00B96775">
              <w:rPr>
                <w:rFonts w:ascii="Arial Narrow" w:hAnsi="Arial Narrow" w:cs="Arial"/>
                <w:bCs/>
                <w:color w:val="FFFFFF"/>
                <w:sz w:val="22"/>
                <w:szCs w:val="22"/>
              </w:rPr>
              <w:t xml:space="preserve"> </w:t>
            </w:r>
          </w:p>
        </w:tc>
        <w:tc>
          <w:tcPr>
            <w:tcW w:w="7340" w:type="dxa"/>
            <w:gridSpan w:val="2"/>
            <w:tcBorders>
              <w:top w:val="single" w:sz="4" w:space="0" w:color="auto"/>
              <w:left w:val="single" w:sz="4" w:space="0" w:color="auto"/>
              <w:bottom w:val="single" w:sz="4" w:space="0" w:color="auto"/>
            </w:tcBorders>
            <w:shd w:val="clear" w:color="auto" w:fill="FFFFFF"/>
          </w:tcPr>
          <w:p w14:paraId="21D6E12B" w14:textId="2C641717" w:rsidR="00145E2C" w:rsidRPr="009F08C4" w:rsidRDefault="00947BCF" w:rsidP="00145E2C">
            <w:pPr>
              <w:pStyle w:val="Ttulo2"/>
              <w:ind w:left="72" w:right="72"/>
              <w:jc w:val="left"/>
              <w:rPr>
                <w:rFonts w:ascii="Arial Narrow" w:hAnsi="Arial Narrow" w:cs="Arial"/>
                <w:b w:val="0"/>
                <w:bCs/>
                <w:sz w:val="22"/>
                <w:szCs w:val="22"/>
              </w:rPr>
            </w:pPr>
            <w:r w:rsidRPr="009F08C4">
              <w:rPr>
                <w:rFonts w:ascii="Arial Narrow" w:hAnsi="Arial Narrow" w:cs="Arial"/>
                <w:b w:val="0"/>
                <w:bCs/>
                <w:sz w:val="22"/>
                <w:szCs w:val="22"/>
              </w:rPr>
              <w:t>14 de julio de 2026</w:t>
            </w:r>
          </w:p>
        </w:tc>
      </w:tr>
      <w:tr w:rsidR="005C4522" w:rsidRPr="00B96775" w14:paraId="446C15CB" w14:textId="77777777" w:rsidTr="00480AB2">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5DC3E5D7" w14:textId="77777777" w:rsidR="0059316B" w:rsidRPr="00B96775" w:rsidRDefault="00A55DB6" w:rsidP="00B96775">
            <w:pPr>
              <w:pStyle w:val="Ttulo2"/>
              <w:ind w:right="72"/>
              <w:jc w:val="left"/>
              <w:rPr>
                <w:rFonts w:ascii="Arial Narrow" w:hAnsi="Arial Narrow" w:cs="Arial"/>
                <w:bCs/>
                <w:color w:val="FFFFFF"/>
                <w:sz w:val="22"/>
                <w:szCs w:val="22"/>
              </w:rPr>
            </w:pPr>
            <w:r w:rsidRPr="00B96775">
              <w:rPr>
                <w:rFonts w:ascii="Arial Narrow" w:hAnsi="Arial Narrow" w:cs="Arial"/>
                <w:bCs/>
                <w:color w:val="FFFFFF"/>
                <w:sz w:val="22"/>
                <w:szCs w:val="22"/>
              </w:rPr>
              <w:t xml:space="preserve">Proyecto de </w:t>
            </w:r>
            <w:r w:rsidR="00587695" w:rsidRPr="00B96775">
              <w:rPr>
                <w:rFonts w:ascii="Arial Narrow" w:hAnsi="Arial Narrow" w:cs="Arial"/>
                <w:bCs/>
                <w:color w:val="FFFFFF"/>
                <w:sz w:val="22"/>
                <w:szCs w:val="22"/>
              </w:rPr>
              <w:t>D</w:t>
            </w:r>
            <w:r w:rsidRPr="00B96775">
              <w:rPr>
                <w:rFonts w:ascii="Arial Narrow" w:hAnsi="Arial Narrow" w:cs="Arial"/>
                <w:bCs/>
                <w:color w:val="FFFFFF"/>
                <w:sz w:val="22"/>
                <w:szCs w:val="22"/>
              </w:rPr>
              <w:t>ecreto</w:t>
            </w:r>
            <w:r w:rsidR="00795C6B" w:rsidRPr="00B96775">
              <w:rPr>
                <w:rFonts w:ascii="Arial Narrow" w:hAnsi="Arial Narrow" w:cs="Arial"/>
                <w:bCs/>
                <w:color w:val="FFFFFF"/>
                <w:sz w:val="22"/>
                <w:szCs w:val="22"/>
              </w:rPr>
              <w:t>/Resolución</w:t>
            </w:r>
            <w:r w:rsidR="00293F29" w:rsidRPr="00B96775">
              <w:rPr>
                <w:rFonts w:ascii="Arial Narrow" w:hAnsi="Arial Narrow"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3F553F59" w14:textId="7E67D15A" w:rsidR="001F238A" w:rsidRPr="009F08C4" w:rsidRDefault="00947BCF" w:rsidP="00947BCF">
            <w:pPr>
              <w:ind w:left="-284"/>
              <w:jc w:val="center"/>
              <w:rPr>
                <w:rFonts w:ascii="Arial Narrow" w:hAnsi="Arial Narrow" w:cs="Arial"/>
                <w:sz w:val="22"/>
                <w:szCs w:val="22"/>
              </w:rPr>
            </w:pPr>
            <w:r w:rsidRPr="009F08C4">
              <w:rPr>
                <w:rFonts w:ascii="Arial Narrow" w:hAnsi="Arial Narrow" w:cs="Arial"/>
                <w:sz w:val="22"/>
                <w:szCs w:val="22"/>
              </w:rPr>
              <w:t>“Por la cual se modifica la Resolución 1326 de 2017 que establece los Sistemas de Recolección Selectiva y Gestión Ambiental de Llantas Usadas y se dictan otras disposiciones.”</w:t>
            </w:r>
          </w:p>
        </w:tc>
      </w:tr>
      <w:tr w:rsidR="00DF60FD" w:rsidRPr="00B96775" w14:paraId="1318B487" w14:textId="77777777" w:rsidTr="00480AB2">
        <w:trPr>
          <w:trHeight w:val="456"/>
        </w:trPr>
        <w:tc>
          <w:tcPr>
            <w:tcW w:w="10774" w:type="dxa"/>
            <w:gridSpan w:val="3"/>
            <w:tcBorders>
              <w:top w:val="single" w:sz="4" w:space="0" w:color="auto"/>
              <w:bottom w:val="single" w:sz="4" w:space="0" w:color="auto"/>
            </w:tcBorders>
            <w:shd w:val="clear" w:color="auto" w:fill="FFFFFF"/>
            <w:vAlign w:val="center"/>
          </w:tcPr>
          <w:p w14:paraId="164B9099" w14:textId="226660CF" w:rsidR="00F71CBA" w:rsidRPr="00B96775" w:rsidRDefault="00F71CBA" w:rsidP="00B96775">
            <w:pPr>
              <w:ind w:left="357" w:right="470"/>
              <w:jc w:val="both"/>
              <w:rPr>
                <w:rFonts w:ascii="Arial Narrow" w:hAnsi="Arial Narrow" w:cs="Arial"/>
                <w:iCs/>
                <w:color w:val="000000"/>
                <w:sz w:val="22"/>
                <w:szCs w:val="22"/>
              </w:rPr>
            </w:pPr>
          </w:p>
          <w:p w14:paraId="4870F316" w14:textId="0262002D" w:rsidR="00E94DD9" w:rsidRPr="00B96775" w:rsidRDefault="00E94DD9" w:rsidP="00B96775">
            <w:pPr>
              <w:numPr>
                <w:ilvl w:val="0"/>
                <w:numId w:val="12"/>
              </w:numPr>
              <w:ind w:left="357" w:right="470"/>
              <w:contextualSpacing/>
              <w:jc w:val="both"/>
              <w:rPr>
                <w:rFonts w:ascii="Arial Narrow" w:hAnsi="Arial Narrow" w:cs="Arial"/>
                <w:b/>
                <w:bCs/>
                <w:iCs/>
                <w:color w:val="000000"/>
                <w:sz w:val="22"/>
                <w:szCs w:val="22"/>
                <w:u w:val="single"/>
              </w:rPr>
            </w:pPr>
            <w:r w:rsidRPr="00B96775">
              <w:rPr>
                <w:rFonts w:ascii="Arial Narrow" w:hAnsi="Arial Narrow" w:cs="Arial"/>
                <w:b/>
                <w:bCs/>
                <w:iCs/>
                <w:color w:val="000000"/>
                <w:sz w:val="22"/>
                <w:szCs w:val="22"/>
                <w:u w:val="single"/>
              </w:rPr>
              <w:t>Identificación del problema, necesidad u oportunidad que se pretende abordar mediante una intervención normativa.</w:t>
            </w:r>
          </w:p>
          <w:p w14:paraId="35991F79" w14:textId="4E5937FA" w:rsidR="00B240F4" w:rsidRPr="00B96775" w:rsidRDefault="00B240F4" w:rsidP="00B96775">
            <w:pPr>
              <w:ind w:left="357" w:right="470"/>
              <w:contextualSpacing/>
              <w:jc w:val="both"/>
              <w:rPr>
                <w:rFonts w:ascii="Arial Narrow" w:hAnsi="Arial Narrow" w:cs="Arial"/>
                <w:iCs/>
                <w:color w:val="000000"/>
                <w:sz w:val="22"/>
                <w:szCs w:val="22"/>
              </w:rPr>
            </w:pPr>
          </w:p>
          <w:p w14:paraId="44770CE5" w14:textId="07CD3F18" w:rsidR="00B66C72" w:rsidRDefault="00B66C72" w:rsidP="00B36AA9">
            <w:pPr>
              <w:pStyle w:val="paragraph"/>
              <w:spacing w:before="0" w:beforeAutospacing="0" w:after="0" w:afterAutospacing="0"/>
              <w:ind w:left="357"/>
              <w:jc w:val="both"/>
              <w:textAlignment w:val="baseline"/>
              <w:rPr>
                <w:rStyle w:val="eop"/>
              </w:rPr>
            </w:pPr>
            <w:r w:rsidRPr="00B96775">
              <w:rPr>
                <w:rStyle w:val="normaltextrun"/>
                <w:rFonts w:ascii="Arial Narrow" w:hAnsi="Arial Narrow" w:cs="Segoe UI"/>
                <w:sz w:val="22"/>
                <w:szCs w:val="22"/>
              </w:rPr>
              <w:t>Desde la expedición de la Resolución 1326 de 2017, el mercado de producción e importación de llantas en Colombia ha cambiado sustancialmente. El crecimiento en el consumo de llantas por nuevas dinámicas de movilidad hizo que en el 2022 la importación de llantas alcanzara la introducción a Colombia de 19.393.278 unidades, discriminadas así: llantas de automóviles (6.239.943), tractocamiones, camiones y buses (1.794.297), motocicletas (6.399.660) y bicicletas (4.609.792); adicionalmente se importaron alrededor de 349 mil unidades de llantas especiales (tractores, máquinas amarillas, entre otras), cantidad que en peso equivale a 194.918.939,89 Kg. (</w:t>
            </w:r>
            <w:proofErr w:type="spellStart"/>
            <w:r w:rsidRPr="00B96775">
              <w:rPr>
                <w:rStyle w:val="normaltextrun"/>
                <w:rFonts w:ascii="Arial Narrow" w:hAnsi="Arial Narrow" w:cs="Segoe UI"/>
                <w:sz w:val="22"/>
                <w:szCs w:val="22"/>
              </w:rPr>
              <w:t>Legiscomex</w:t>
            </w:r>
            <w:proofErr w:type="spellEnd"/>
            <w:r w:rsidRPr="00B96775">
              <w:rPr>
                <w:rStyle w:val="normaltextrun"/>
                <w:rFonts w:ascii="Arial Narrow" w:hAnsi="Arial Narrow" w:cs="Segoe UI"/>
                <w:sz w:val="22"/>
                <w:szCs w:val="22"/>
              </w:rPr>
              <w:t>, 2025).</w:t>
            </w:r>
          </w:p>
          <w:p w14:paraId="67FA2F44" w14:textId="77777777" w:rsidR="00B96775" w:rsidRPr="00B96775" w:rsidRDefault="00B96775" w:rsidP="00B36AA9">
            <w:pPr>
              <w:pStyle w:val="paragraph"/>
              <w:spacing w:before="0" w:beforeAutospacing="0" w:after="0" w:afterAutospacing="0"/>
              <w:ind w:left="357"/>
              <w:jc w:val="both"/>
              <w:textAlignment w:val="baseline"/>
              <w:rPr>
                <w:rFonts w:ascii="Arial Narrow" w:hAnsi="Arial Narrow" w:cs="Segoe UI"/>
                <w:sz w:val="22"/>
                <w:szCs w:val="22"/>
              </w:rPr>
            </w:pPr>
          </w:p>
          <w:p w14:paraId="03E5F941" w14:textId="77777777" w:rsidR="00C55B55" w:rsidRDefault="00B66C72" w:rsidP="00C55B55">
            <w:pPr>
              <w:pStyle w:val="paragraph"/>
              <w:spacing w:before="0" w:beforeAutospacing="0" w:after="0" w:afterAutospacing="0"/>
              <w:ind w:left="357"/>
              <w:jc w:val="both"/>
              <w:textAlignment w:val="baseline"/>
              <w:rPr>
                <w:rStyle w:val="normaltextrun"/>
                <w:rFonts w:ascii="Arial Narrow" w:hAnsi="Arial Narrow" w:cs="Segoe UI"/>
                <w:sz w:val="22"/>
                <w:szCs w:val="22"/>
              </w:rPr>
            </w:pPr>
            <w:r w:rsidRPr="00B96775">
              <w:rPr>
                <w:rStyle w:val="normaltextrun"/>
                <w:rFonts w:ascii="Arial Narrow" w:hAnsi="Arial Narrow" w:cs="Segoe UI"/>
                <w:sz w:val="22"/>
                <w:szCs w:val="22"/>
              </w:rPr>
              <w:t>Frente a este escenario, se han identificado los siguientes problemas:</w:t>
            </w:r>
          </w:p>
          <w:p w14:paraId="67DB6115" w14:textId="77777777" w:rsidR="00C55B55" w:rsidRDefault="00C55B55" w:rsidP="00C55B55">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5A6A222E" w14:textId="77777777" w:rsidR="00C55B55" w:rsidRPr="00BC7D6E" w:rsidRDefault="00C55B55" w:rsidP="00BC7D6E">
            <w:pPr>
              <w:pStyle w:val="paragraph"/>
              <w:numPr>
                <w:ilvl w:val="0"/>
                <w:numId w:val="21"/>
              </w:numPr>
              <w:spacing w:before="0" w:beforeAutospacing="0" w:after="0" w:afterAutospacing="0"/>
              <w:jc w:val="both"/>
              <w:textAlignment w:val="baseline"/>
              <w:rPr>
                <w:rStyle w:val="normaltextrun"/>
                <w:rFonts w:ascii="Arial Narrow" w:hAnsi="Arial Narrow" w:cs="Segoe UI"/>
                <w:b/>
                <w:bCs/>
                <w:sz w:val="22"/>
                <w:szCs w:val="22"/>
              </w:rPr>
            </w:pPr>
            <w:r w:rsidRPr="00BC7D6E">
              <w:rPr>
                <w:rStyle w:val="normaltextrun"/>
                <w:rFonts w:ascii="Arial Narrow" w:hAnsi="Arial Narrow" w:cs="Segoe UI"/>
                <w:b/>
                <w:bCs/>
                <w:sz w:val="22"/>
                <w:szCs w:val="22"/>
              </w:rPr>
              <w:t>Riesgo de exclusión de llantas del ámbito de aplicación de la Resolución 1326 de 2017</w:t>
            </w:r>
          </w:p>
          <w:p w14:paraId="35E8BC9D" w14:textId="77777777" w:rsidR="00C55B55" w:rsidRPr="00C55B55" w:rsidRDefault="00C55B55" w:rsidP="00C55B55">
            <w:pPr>
              <w:pStyle w:val="paragraph"/>
              <w:spacing w:before="0" w:beforeAutospacing="0" w:after="0" w:afterAutospacing="0"/>
              <w:ind w:left="357"/>
              <w:jc w:val="both"/>
              <w:textAlignment w:val="baseline"/>
              <w:rPr>
                <w:rStyle w:val="normaltextrun"/>
                <w:rFonts w:cs="Segoe UI"/>
                <w:sz w:val="22"/>
                <w:szCs w:val="22"/>
                <w:lang w:val="es-ES"/>
              </w:rPr>
            </w:pPr>
          </w:p>
          <w:p w14:paraId="3E955D8E" w14:textId="36E9843E" w:rsidR="00C55B55" w:rsidRPr="00BC7D6E" w:rsidRDefault="00C55B55" w:rsidP="00C55B55">
            <w:pPr>
              <w:pStyle w:val="paragraph"/>
              <w:spacing w:before="0" w:beforeAutospacing="0" w:after="0" w:afterAutospacing="0"/>
              <w:ind w:left="357"/>
              <w:jc w:val="both"/>
              <w:textAlignment w:val="baseline"/>
              <w:rPr>
                <w:sz w:val="22"/>
                <w:szCs w:val="22"/>
              </w:rPr>
            </w:pPr>
            <w:r w:rsidRPr="00BC7D6E">
              <w:rPr>
                <w:rFonts w:ascii="Arial Narrow" w:hAnsi="Arial Narrow"/>
                <w:sz w:val="22"/>
                <w:szCs w:val="22"/>
              </w:rPr>
              <w:t xml:space="preserve">No existe una adecuada correspondencia entre el término </w:t>
            </w:r>
            <w:r w:rsidR="00B104DC" w:rsidRPr="00BC7D6E">
              <w:rPr>
                <w:rFonts w:ascii="Arial Narrow" w:hAnsi="Arial Narrow"/>
                <w:sz w:val="22"/>
                <w:szCs w:val="22"/>
              </w:rPr>
              <w:t>“</w:t>
            </w:r>
            <w:r w:rsidRPr="00BC7D6E">
              <w:rPr>
                <w:rFonts w:ascii="Arial Narrow" w:hAnsi="Arial Narrow"/>
                <w:sz w:val="22"/>
                <w:szCs w:val="22"/>
              </w:rPr>
              <w:t>llanta</w:t>
            </w:r>
            <w:r w:rsidR="00B104DC" w:rsidRPr="00BC7D6E">
              <w:rPr>
                <w:rFonts w:ascii="Arial Narrow" w:hAnsi="Arial Narrow"/>
                <w:sz w:val="22"/>
                <w:szCs w:val="22"/>
              </w:rPr>
              <w:t>”</w:t>
            </w:r>
            <w:r w:rsidRPr="00BC7D6E">
              <w:rPr>
                <w:rFonts w:ascii="Arial Narrow" w:hAnsi="Arial Narrow"/>
                <w:sz w:val="22"/>
                <w:szCs w:val="22"/>
              </w:rPr>
              <w:t xml:space="preserve"> utilizado en la Resolución 1326 de 2017 y el término </w:t>
            </w:r>
            <w:r w:rsidR="00B104DC" w:rsidRPr="00BC7D6E">
              <w:rPr>
                <w:rFonts w:ascii="Arial Narrow" w:hAnsi="Arial Narrow"/>
                <w:sz w:val="22"/>
                <w:szCs w:val="22"/>
              </w:rPr>
              <w:t>“</w:t>
            </w:r>
            <w:r w:rsidRPr="00BC7D6E">
              <w:rPr>
                <w:rFonts w:ascii="Arial Narrow" w:hAnsi="Arial Narrow"/>
                <w:sz w:val="22"/>
                <w:szCs w:val="22"/>
              </w:rPr>
              <w:t>neumático</w:t>
            </w:r>
            <w:r w:rsidR="00B104DC" w:rsidRPr="00BC7D6E">
              <w:rPr>
                <w:rFonts w:ascii="Arial Narrow" w:hAnsi="Arial Narrow"/>
                <w:sz w:val="22"/>
                <w:szCs w:val="22"/>
              </w:rPr>
              <w:t>”</w:t>
            </w:r>
            <w:r w:rsidRPr="00BC7D6E">
              <w:rPr>
                <w:rFonts w:ascii="Arial Narrow" w:hAnsi="Arial Narrow"/>
                <w:sz w:val="22"/>
                <w:szCs w:val="22"/>
              </w:rPr>
              <w:t xml:space="preserve"> empleado en las partidas y subpartidas arancelarias mediante las cuales se importan estos productos al país. Algunas de estas partidas y subpartidas no utilizan el término «llanta» en su descripción, sino </w:t>
            </w:r>
            <w:r w:rsidR="00B104DC" w:rsidRPr="00BC7D6E">
              <w:rPr>
                <w:rFonts w:ascii="Arial Narrow" w:hAnsi="Arial Narrow"/>
                <w:sz w:val="22"/>
                <w:szCs w:val="22"/>
              </w:rPr>
              <w:t>“</w:t>
            </w:r>
            <w:r w:rsidRPr="00BC7D6E">
              <w:rPr>
                <w:rFonts w:ascii="Arial Narrow" w:hAnsi="Arial Narrow"/>
                <w:sz w:val="22"/>
                <w:szCs w:val="22"/>
              </w:rPr>
              <w:t>neumático</w:t>
            </w:r>
            <w:r w:rsidR="00B104DC" w:rsidRPr="00BC7D6E">
              <w:rPr>
                <w:rFonts w:ascii="Arial Narrow" w:hAnsi="Arial Narrow"/>
                <w:sz w:val="22"/>
                <w:szCs w:val="22"/>
              </w:rPr>
              <w:t>”</w:t>
            </w:r>
            <w:r w:rsidRPr="00BC7D6E">
              <w:rPr>
                <w:rFonts w:ascii="Arial Narrow" w:hAnsi="Arial Narrow"/>
                <w:sz w:val="22"/>
                <w:szCs w:val="22"/>
              </w:rPr>
              <w:t>, y no se encuentran expresamente identificadas de esta forma en la regulación vigente.</w:t>
            </w:r>
          </w:p>
          <w:p w14:paraId="0332F36C" w14:textId="77777777" w:rsidR="00C55B55" w:rsidRPr="00BC7D6E" w:rsidRDefault="00C55B55" w:rsidP="00C55B55">
            <w:pPr>
              <w:pStyle w:val="isselectedend"/>
              <w:spacing w:before="0" w:beforeAutospacing="0" w:after="0" w:afterAutospacing="0"/>
              <w:jc w:val="both"/>
              <w:rPr>
                <w:rFonts w:ascii="Arial Narrow" w:hAnsi="Arial Narrow"/>
                <w:sz w:val="22"/>
                <w:szCs w:val="22"/>
              </w:rPr>
            </w:pPr>
          </w:p>
          <w:p w14:paraId="3381DEEA" w14:textId="374847A1" w:rsidR="00B96775" w:rsidRPr="00BC7D6E" w:rsidRDefault="00C55B55" w:rsidP="00C55B55">
            <w:pPr>
              <w:pStyle w:val="paragraph"/>
              <w:spacing w:before="0" w:beforeAutospacing="0" w:after="0" w:afterAutospacing="0"/>
              <w:ind w:left="357"/>
              <w:jc w:val="both"/>
              <w:textAlignment w:val="baseline"/>
              <w:rPr>
                <w:rFonts w:ascii="Arial Narrow" w:hAnsi="Arial Narrow"/>
                <w:sz w:val="22"/>
                <w:szCs w:val="22"/>
              </w:rPr>
            </w:pPr>
            <w:r w:rsidRPr="00BC7D6E">
              <w:rPr>
                <w:rFonts w:ascii="Arial Narrow" w:hAnsi="Arial Narrow"/>
                <w:sz w:val="22"/>
                <w:szCs w:val="22"/>
              </w:rPr>
              <w:t>Esta situación dificulta la identificación y contabilización de la totalidad de las llantas importadas que se encuentran sujetas a las obligaciones derivadas de la Responsabilidad Extendida del Productor (REP) de llantas usadas. En consecuencia, algunas llantas pueden no ser consideradas en el cálculo de las líneas base utilizadas para determinar las metas de recolección selectiva y gestión ambiental que deben cumplir los sistemas de recolección y gestión ambiental de llantas usadas, lo que genera un riesgo de que ingresen al país sin ser identificadas para efectos del cumplimiento de las obligaciones asociadas a la REP</w:t>
            </w:r>
            <w:r w:rsidR="00B104DC" w:rsidRPr="00BC7D6E">
              <w:rPr>
                <w:rFonts w:ascii="Arial Narrow" w:hAnsi="Arial Narrow"/>
                <w:sz w:val="22"/>
                <w:szCs w:val="22"/>
              </w:rPr>
              <w:t>.</w:t>
            </w:r>
          </w:p>
          <w:p w14:paraId="6AF0ABED" w14:textId="77777777" w:rsidR="00B104DC" w:rsidRPr="00BC1B0F" w:rsidRDefault="00B104DC" w:rsidP="00C55B55">
            <w:pPr>
              <w:pStyle w:val="paragraph"/>
              <w:spacing w:before="0" w:beforeAutospacing="0" w:after="0" w:afterAutospacing="0"/>
              <w:ind w:left="357"/>
              <w:jc w:val="both"/>
              <w:textAlignment w:val="baseline"/>
              <w:rPr>
                <w:rFonts w:ascii="Arial Narrow" w:hAnsi="Arial Narrow" w:cs="Segoe UI"/>
                <w:sz w:val="22"/>
                <w:szCs w:val="22"/>
                <w:lang w:val="es-ES"/>
              </w:rPr>
            </w:pPr>
          </w:p>
          <w:p w14:paraId="2BB2BCAD" w14:textId="0C9341FB" w:rsidR="00B66C72" w:rsidRPr="00B96775" w:rsidRDefault="00B66C72" w:rsidP="00155EC3">
            <w:pPr>
              <w:pStyle w:val="paragraph"/>
              <w:numPr>
                <w:ilvl w:val="0"/>
                <w:numId w:val="21"/>
              </w:numPr>
              <w:spacing w:before="0" w:beforeAutospacing="0" w:after="0" w:afterAutospacing="0"/>
              <w:jc w:val="both"/>
              <w:textAlignment w:val="baseline"/>
              <w:rPr>
                <w:rFonts w:ascii="Arial Narrow" w:hAnsi="Arial Narrow" w:cs="Segoe UI"/>
                <w:sz w:val="22"/>
                <w:szCs w:val="22"/>
              </w:rPr>
            </w:pPr>
            <w:r w:rsidRPr="00B96775">
              <w:rPr>
                <w:rStyle w:val="normaltextrun"/>
                <w:rFonts w:ascii="Arial Narrow" w:hAnsi="Arial Narrow" w:cs="Segoe UI"/>
                <w:b/>
                <w:bCs/>
                <w:sz w:val="22"/>
                <w:szCs w:val="22"/>
              </w:rPr>
              <w:t>Deficiencia en la trazabilidad de la operación que soporta los certificados expedidos por el gestor de las llantas usadas</w:t>
            </w:r>
            <w:r w:rsidRPr="00B96775">
              <w:rPr>
                <w:rStyle w:val="eop"/>
                <w:rFonts w:ascii="Arial Narrow" w:hAnsi="Arial Narrow" w:cs="Segoe UI"/>
                <w:sz w:val="22"/>
                <w:szCs w:val="22"/>
              </w:rPr>
              <w:t> </w:t>
            </w:r>
          </w:p>
          <w:p w14:paraId="1AB5E7C3" w14:textId="77777777" w:rsidR="00B104DC" w:rsidRDefault="00B104DC"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02FCF817" w14:textId="64AB4CFD" w:rsidR="00B66C72" w:rsidRDefault="00B66C72" w:rsidP="00B36AA9">
            <w:pPr>
              <w:pStyle w:val="paragraph"/>
              <w:spacing w:before="0" w:beforeAutospacing="0" w:after="0" w:afterAutospacing="0"/>
              <w:ind w:left="357"/>
              <w:jc w:val="both"/>
              <w:textAlignment w:val="baseline"/>
              <w:rPr>
                <w:rStyle w:val="eop"/>
              </w:rPr>
            </w:pPr>
            <w:r w:rsidRPr="00B96775">
              <w:rPr>
                <w:rStyle w:val="normaltextrun"/>
                <w:rFonts w:ascii="Arial Narrow" w:hAnsi="Arial Narrow" w:cs="Segoe UI"/>
                <w:sz w:val="22"/>
                <w:szCs w:val="22"/>
              </w:rPr>
              <w:t>Los actores de la Responsabilidad Extendida del Productor (REP) de llantas usadas han señalado que, en algunos casos, las certificaciones del material aprovechado por los gestores no permiten establecer con suficiente claridad la trazabilidad de la operación que las soporta. En particular, existen gestores que reciben llantas usadas de varios Sistemas de Recolección Selectiva y Gestión Ambiental, lo que dificulta verificar la correspondencia entre las llantas efectivamente ingresadas</w:t>
            </w:r>
            <w:r w:rsidR="00B104DC">
              <w:rPr>
                <w:rStyle w:val="normaltextrun"/>
                <w:rFonts w:ascii="Arial Narrow" w:hAnsi="Arial Narrow" w:cs="Segoe UI"/>
                <w:sz w:val="22"/>
                <w:szCs w:val="22"/>
              </w:rPr>
              <w:t xml:space="preserve"> a gestionar por cada uno de los sistemas que las entregan</w:t>
            </w:r>
            <w:r w:rsidRPr="00B96775">
              <w:rPr>
                <w:rStyle w:val="normaltextrun"/>
                <w:rFonts w:ascii="Arial Narrow" w:hAnsi="Arial Narrow" w:cs="Segoe UI"/>
                <w:sz w:val="22"/>
                <w:szCs w:val="22"/>
              </w:rPr>
              <w:t>, las cantidades procesadas, las cantidades certificadas y el seguimiento al destino final del material aprovechado.</w:t>
            </w:r>
          </w:p>
          <w:p w14:paraId="13D050C7" w14:textId="77777777" w:rsidR="00B96775" w:rsidRPr="00B96775" w:rsidRDefault="00B96775" w:rsidP="00B36AA9">
            <w:pPr>
              <w:pStyle w:val="paragraph"/>
              <w:spacing w:before="0" w:beforeAutospacing="0" w:after="0" w:afterAutospacing="0"/>
              <w:ind w:left="357"/>
              <w:jc w:val="both"/>
              <w:textAlignment w:val="baseline"/>
              <w:rPr>
                <w:rFonts w:ascii="Arial Narrow" w:hAnsi="Arial Narrow" w:cs="Segoe UI"/>
                <w:sz w:val="22"/>
                <w:szCs w:val="22"/>
              </w:rPr>
            </w:pPr>
          </w:p>
          <w:p w14:paraId="3DC64985" w14:textId="77777777" w:rsidR="00B66C72" w:rsidRPr="00B96775" w:rsidRDefault="00B66C72" w:rsidP="00B36AA9">
            <w:pPr>
              <w:pStyle w:val="paragraph"/>
              <w:spacing w:before="0" w:beforeAutospacing="0" w:after="0" w:afterAutospacing="0"/>
              <w:ind w:left="357"/>
              <w:jc w:val="both"/>
              <w:textAlignment w:val="baseline"/>
              <w:rPr>
                <w:rFonts w:ascii="Arial Narrow" w:hAnsi="Arial Narrow" w:cs="Segoe UI"/>
                <w:sz w:val="22"/>
                <w:szCs w:val="22"/>
              </w:rPr>
            </w:pPr>
            <w:r w:rsidRPr="00B96775">
              <w:rPr>
                <w:rStyle w:val="normaltextrun"/>
                <w:rFonts w:ascii="Arial Narrow" w:hAnsi="Arial Narrow" w:cs="Segoe UI"/>
                <w:sz w:val="22"/>
                <w:szCs w:val="22"/>
              </w:rPr>
              <w:t xml:space="preserve">Al revisar la información requerida en el "Certificado de gestión ambiental de llantas usadas" (Anexo II de la Resolución 1326 de 2017), se evidenció que los certificados no están suficientemente respaldados con información operativa: no existen datos de un balance de masas de la operación del gestor, ni de su capacidad instalada, entre otros. Esto dificulta el seguimiento al origen de </w:t>
            </w:r>
            <w:r w:rsidRPr="00B96775">
              <w:rPr>
                <w:rStyle w:val="normaltextrun"/>
                <w:rFonts w:ascii="Arial Narrow" w:hAnsi="Arial Narrow" w:cs="Segoe UI"/>
                <w:sz w:val="22"/>
                <w:szCs w:val="22"/>
              </w:rPr>
              <w:lastRenderedPageBreak/>
              <w:t>las llantas usadas, al proceso aplicado y al destino final del material, e impide verificar que las operaciones de recepción, aprovechamiento o reencauche correspondan efectivamente a lo certificado.</w:t>
            </w:r>
            <w:r w:rsidRPr="00B96775">
              <w:rPr>
                <w:rStyle w:val="eop"/>
                <w:rFonts w:ascii="Arial Narrow" w:hAnsi="Arial Narrow" w:cs="Segoe UI"/>
                <w:sz w:val="22"/>
                <w:szCs w:val="22"/>
              </w:rPr>
              <w:t> </w:t>
            </w:r>
          </w:p>
          <w:p w14:paraId="02B25FD3" w14:textId="77777777" w:rsidR="00B96775" w:rsidRDefault="00B96775" w:rsidP="00B36AA9">
            <w:pPr>
              <w:pStyle w:val="paragraph"/>
              <w:spacing w:before="0" w:beforeAutospacing="0" w:after="0" w:afterAutospacing="0"/>
              <w:ind w:left="357"/>
              <w:jc w:val="both"/>
              <w:textAlignment w:val="baseline"/>
              <w:rPr>
                <w:rStyle w:val="normaltextrun"/>
                <w:rFonts w:ascii="Arial Narrow" w:hAnsi="Arial Narrow" w:cs="Segoe UI"/>
                <w:b/>
                <w:bCs/>
                <w:sz w:val="22"/>
                <w:szCs w:val="22"/>
              </w:rPr>
            </w:pPr>
          </w:p>
          <w:p w14:paraId="7AFF51E0" w14:textId="379DE97B" w:rsidR="00B66C72" w:rsidRPr="00B96775" w:rsidRDefault="00B66C72" w:rsidP="00155EC3">
            <w:pPr>
              <w:pStyle w:val="paragraph"/>
              <w:numPr>
                <w:ilvl w:val="0"/>
                <w:numId w:val="21"/>
              </w:numPr>
              <w:spacing w:before="0" w:beforeAutospacing="0" w:after="0" w:afterAutospacing="0"/>
              <w:jc w:val="both"/>
              <w:textAlignment w:val="baseline"/>
              <w:rPr>
                <w:rFonts w:ascii="Arial Narrow" w:hAnsi="Arial Narrow" w:cs="Segoe UI"/>
                <w:sz w:val="22"/>
                <w:szCs w:val="22"/>
              </w:rPr>
            </w:pPr>
            <w:r w:rsidRPr="00B96775">
              <w:rPr>
                <w:rStyle w:val="normaltextrun"/>
                <w:rFonts w:ascii="Arial Narrow" w:hAnsi="Arial Narrow" w:cs="Segoe UI"/>
                <w:b/>
                <w:bCs/>
                <w:sz w:val="22"/>
                <w:szCs w:val="22"/>
              </w:rPr>
              <w:t xml:space="preserve">Insuficiente </w:t>
            </w:r>
            <w:r w:rsidR="00880112">
              <w:rPr>
                <w:rStyle w:val="normaltextrun"/>
                <w:rFonts w:ascii="Arial Narrow" w:hAnsi="Arial Narrow" w:cs="Segoe UI"/>
                <w:b/>
                <w:bCs/>
                <w:sz w:val="22"/>
                <w:szCs w:val="22"/>
              </w:rPr>
              <w:t>fortalecimiento</w:t>
            </w:r>
            <w:r w:rsidRPr="00B96775">
              <w:rPr>
                <w:rStyle w:val="normaltextrun"/>
                <w:rFonts w:ascii="Arial Narrow" w:hAnsi="Arial Narrow" w:cs="Segoe UI"/>
                <w:b/>
                <w:bCs/>
                <w:sz w:val="22"/>
                <w:szCs w:val="22"/>
              </w:rPr>
              <w:t xml:space="preserve"> del reencauche como estrategia de reutilización</w:t>
            </w:r>
          </w:p>
          <w:p w14:paraId="3E7899CD" w14:textId="77777777" w:rsidR="00B96775" w:rsidRDefault="00B96775"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7B58E2E9" w14:textId="77777777" w:rsidR="005D7429" w:rsidRDefault="00B66C72"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r w:rsidRPr="00B96775">
              <w:rPr>
                <w:rStyle w:val="normaltextrun"/>
                <w:rFonts w:ascii="Arial Narrow" w:hAnsi="Arial Narrow" w:cs="Segoe UI"/>
                <w:sz w:val="22"/>
                <w:szCs w:val="22"/>
              </w:rPr>
              <w:t xml:space="preserve">El reencauche se reconoce como una forma de reutilización que permite prolongar la vida útil de las llantas mediante el uso de la carcasa de la llanta usada, </w:t>
            </w:r>
            <w:r w:rsidR="00B104DC">
              <w:rPr>
                <w:rStyle w:val="normaltextrun"/>
                <w:rFonts w:ascii="Arial Narrow" w:hAnsi="Arial Narrow" w:cs="Segoe UI"/>
                <w:sz w:val="22"/>
                <w:szCs w:val="22"/>
              </w:rPr>
              <w:t>una vez terminada la vi</w:t>
            </w:r>
            <w:r w:rsidR="005D7429">
              <w:rPr>
                <w:rStyle w:val="normaltextrun"/>
                <w:rFonts w:ascii="Arial Narrow" w:hAnsi="Arial Narrow" w:cs="Segoe UI"/>
                <w:sz w:val="22"/>
                <w:szCs w:val="22"/>
              </w:rPr>
              <w:t>d</w:t>
            </w:r>
            <w:r w:rsidR="00B104DC">
              <w:rPr>
                <w:rStyle w:val="normaltextrun"/>
                <w:rFonts w:ascii="Arial Narrow" w:hAnsi="Arial Narrow" w:cs="Segoe UI"/>
                <w:sz w:val="22"/>
                <w:szCs w:val="22"/>
              </w:rPr>
              <w:t>a útil de la</w:t>
            </w:r>
            <w:r w:rsidR="00FC3827">
              <w:rPr>
                <w:rStyle w:val="normaltextrun"/>
                <w:rFonts w:ascii="Arial Narrow" w:hAnsi="Arial Narrow" w:cs="Segoe UI"/>
                <w:sz w:val="22"/>
                <w:szCs w:val="22"/>
              </w:rPr>
              <w:t xml:space="preserve"> banda de rodamiento</w:t>
            </w:r>
            <w:r w:rsidR="005D7429">
              <w:rPr>
                <w:rStyle w:val="normaltextrun"/>
                <w:rFonts w:ascii="Arial Narrow" w:hAnsi="Arial Narrow" w:cs="Segoe UI"/>
                <w:sz w:val="22"/>
                <w:szCs w:val="22"/>
              </w:rPr>
              <w:t>. Esta</w:t>
            </w:r>
            <w:r w:rsidR="00FC3827">
              <w:rPr>
                <w:rStyle w:val="normaltextrun"/>
                <w:rFonts w:ascii="Arial Narrow" w:hAnsi="Arial Narrow" w:cs="Segoe UI"/>
                <w:sz w:val="22"/>
                <w:szCs w:val="22"/>
              </w:rPr>
              <w:t xml:space="preserve"> actividad se desarrolla </w:t>
            </w:r>
            <w:r w:rsidRPr="00B96775">
              <w:rPr>
                <w:rStyle w:val="normaltextrun"/>
                <w:rFonts w:ascii="Arial Narrow" w:hAnsi="Arial Narrow" w:cs="Segoe UI"/>
                <w:sz w:val="22"/>
                <w:szCs w:val="22"/>
              </w:rPr>
              <w:t xml:space="preserve">conforme a lo dispuesto en las Resoluciones 230 de 2010 y 2899 de 2011 del Ministerio de Comercio, Industria y Turismo, la NTC 5384 de 2005 y la Resolución 481 de 2009. </w:t>
            </w:r>
          </w:p>
          <w:p w14:paraId="2D7EEFF5" w14:textId="77777777" w:rsidR="005D7429" w:rsidRDefault="005D7429"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2FF4F80F" w14:textId="66873799" w:rsidR="00B66C72" w:rsidRDefault="00B66C72" w:rsidP="00B36AA9">
            <w:pPr>
              <w:pStyle w:val="paragraph"/>
              <w:spacing w:before="0" w:beforeAutospacing="0" w:after="0" w:afterAutospacing="0"/>
              <w:ind w:left="357"/>
              <w:jc w:val="both"/>
              <w:textAlignment w:val="baseline"/>
              <w:rPr>
                <w:rStyle w:val="eop"/>
              </w:rPr>
            </w:pPr>
            <w:r w:rsidRPr="00B96775">
              <w:rPr>
                <w:rStyle w:val="normaltextrun"/>
                <w:rFonts w:ascii="Arial Narrow" w:hAnsi="Arial Narrow" w:cs="Segoe UI"/>
                <w:sz w:val="22"/>
                <w:szCs w:val="22"/>
              </w:rPr>
              <w:t>Actualmente los certificados expedidos por las empresas reencauchadoras se tienen en cuenta para el cumplimiento de las metas</w:t>
            </w:r>
            <w:r w:rsidR="005D7429">
              <w:rPr>
                <w:rStyle w:val="normaltextrun"/>
                <w:rFonts w:ascii="Arial Narrow" w:hAnsi="Arial Narrow" w:cs="Segoe UI"/>
                <w:sz w:val="22"/>
                <w:szCs w:val="22"/>
              </w:rPr>
              <w:t xml:space="preserve"> de recolección y gestión ambiental</w:t>
            </w:r>
            <w:r w:rsidRPr="00B96775">
              <w:rPr>
                <w:rStyle w:val="normaltextrun"/>
                <w:rFonts w:ascii="Arial Narrow" w:hAnsi="Arial Narrow" w:cs="Segoe UI"/>
                <w:sz w:val="22"/>
                <w:szCs w:val="22"/>
              </w:rPr>
              <w:t xml:space="preserve"> a cargo de los Sistemas; sin embargo, </w:t>
            </w:r>
            <w:r w:rsidR="005D7429">
              <w:rPr>
                <w:rStyle w:val="normaltextrun"/>
                <w:rFonts w:ascii="Arial Narrow" w:hAnsi="Arial Narrow" w:cs="Segoe UI"/>
                <w:sz w:val="22"/>
                <w:szCs w:val="22"/>
              </w:rPr>
              <w:t xml:space="preserve">la normativa vigente </w:t>
            </w:r>
            <w:r w:rsidRPr="00B96775">
              <w:rPr>
                <w:rStyle w:val="normaltextrun"/>
                <w:rFonts w:ascii="Arial Narrow" w:hAnsi="Arial Narrow" w:cs="Segoe UI"/>
                <w:sz w:val="22"/>
                <w:szCs w:val="22"/>
              </w:rPr>
              <w:t xml:space="preserve">no </w:t>
            </w:r>
            <w:r w:rsidR="005D7429">
              <w:rPr>
                <w:rStyle w:val="normaltextrun"/>
                <w:rFonts w:ascii="Arial Narrow" w:hAnsi="Arial Narrow" w:cs="Segoe UI"/>
                <w:sz w:val="22"/>
                <w:szCs w:val="22"/>
              </w:rPr>
              <w:t xml:space="preserve">establece </w:t>
            </w:r>
            <w:r w:rsidRPr="00B96775">
              <w:rPr>
                <w:rStyle w:val="normaltextrun"/>
                <w:rFonts w:ascii="Arial Narrow" w:hAnsi="Arial Narrow" w:cs="Segoe UI"/>
                <w:sz w:val="22"/>
                <w:szCs w:val="22"/>
              </w:rPr>
              <w:t xml:space="preserve">acciones específicas orientadas a la promoción </w:t>
            </w:r>
            <w:r w:rsidR="005D7429">
              <w:rPr>
                <w:rStyle w:val="normaltextrun"/>
                <w:rFonts w:ascii="Arial Narrow" w:hAnsi="Arial Narrow" w:cs="Segoe UI"/>
                <w:sz w:val="22"/>
                <w:szCs w:val="22"/>
              </w:rPr>
              <w:t xml:space="preserve">del reencauche </w:t>
            </w:r>
            <w:r w:rsidR="005C625D">
              <w:rPr>
                <w:rStyle w:val="normaltextrun"/>
                <w:rFonts w:ascii="Arial Narrow" w:hAnsi="Arial Narrow" w:cs="Segoe UI"/>
                <w:sz w:val="22"/>
                <w:szCs w:val="22"/>
              </w:rPr>
              <w:t>por parte</w:t>
            </w:r>
            <w:r w:rsidR="005D7429">
              <w:rPr>
                <w:rStyle w:val="normaltextrun"/>
                <w:rFonts w:ascii="Arial Narrow" w:hAnsi="Arial Narrow" w:cs="Segoe UI"/>
                <w:sz w:val="22"/>
                <w:szCs w:val="22"/>
              </w:rPr>
              <w:t xml:space="preserve"> de los sistemas</w:t>
            </w:r>
            <w:r w:rsidRPr="00B96775">
              <w:rPr>
                <w:rStyle w:val="normaltextrun"/>
                <w:rFonts w:ascii="Arial Narrow" w:hAnsi="Arial Narrow" w:cs="Segoe UI"/>
                <w:sz w:val="22"/>
                <w:szCs w:val="22"/>
              </w:rPr>
              <w:t>, lo que limita su desarrollo como estrategia de reutilización dentro del esquema REP</w:t>
            </w:r>
            <w:r w:rsidR="00FC3827">
              <w:rPr>
                <w:rStyle w:val="normaltextrun"/>
                <w:rFonts w:ascii="Arial Narrow" w:hAnsi="Arial Narrow" w:cs="Segoe UI"/>
                <w:sz w:val="22"/>
                <w:szCs w:val="22"/>
              </w:rPr>
              <w:t xml:space="preserve"> y </w:t>
            </w:r>
            <w:r w:rsidR="005D7429">
              <w:rPr>
                <w:rStyle w:val="normaltextrun"/>
                <w:rFonts w:ascii="Arial Narrow" w:hAnsi="Arial Narrow" w:cs="Segoe UI"/>
                <w:sz w:val="22"/>
                <w:szCs w:val="22"/>
              </w:rPr>
              <w:t>reduce su re</w:t>
            </w:r>
            <w:r w:rsidR="00FC3827">
              <w:rPr>
                <w:rStyle w:val="normaltextrun"/>
                <w:rFonts w:ascii="Arial Narrow" w:hAnsi="Arial Narrow" w:cs="Segoe UI"/>
                <w:sz w:val="22"/>
                <w:szCs w:val="22"/>
              </w:rPr>
              <w:t xml:space="preserve">conocimiento </w:t>
            </w:r>
            <w:r w:rsidR="005D7429">
              <w:rPr>
                <w:rStyle w:val="normaltextrun"/>
                <w:rFonts w:ascii="Arial Narrow" w:hAnsi="Arial Narrow" w:cs="Segoe UI"/>
                <w:sz w:val="22"/>
                <w:szCs w:val="22"/>
              </w:rPr>
              <w:t xml:space="preserve">entre los diferentes </w:t>
            </w:r>
            <w:r w:rsidR="00FC3827">
              <w:rPr>
                <w:rStyle w:val="normaltextrun"/>
                <w:rFonts w:ascii="Arial Narrow" w:hAnsi="Arial Narrow" w:cs="Segoe UI"/>
                <w:sz w:val="22"/>
                <w:szCs w:val="22"/>
              </w:rPr>
              <w:t xml:space="preserve">actores de la cadena </w:t>
            </w:r>
            <w:r w:rsidR="005D7429">
              <w:rPr>
                <w:rStyle w:val="normaltextrun"/>
                <w:rFonts w:ascii="Arial Narrow" w:hAnsi="Arial Narrow" w:cs="Segoe UI"/>
                <w:sz w:val="22"/>
                <w:szCs w:val="22"/>
              </w:rPr>
              <w:t xml:space="preserve">como una </w:t>
            </w:r>
            <w:r w:rsidR="005C625D">
              <w:rPr>
                <w:rStyle w:val="normaltextrun"/>
                <w:rFonts w:ascii="Arial Narrow" w:hAnsi="Arial Narrow" w:cs="Segoe UI"/>
                <w:sz w:val="22"/>
                <w:szCs w:val="22"/>
              </w:rPr>
              <w:t xml:space="preserve">alternativa </w:t>
            </w:r>
            <w:r w:rsidR="005D7429">
              <w:rPr>
                <w:rStyle w:val="normaltextrun"/>
                <w:rFonts w:ascii="Arial Narrow" w:hAnsi="Arial Narrow" w:cs="Segoe UI"/>
                <w:sz w:val="22"/>
                <w:szCs w:val="22"/>
              </w:rPr>
              <w:t xml:space="preserve">que debe considerarse antes de llevar la </w:t>
            </w:r>
            <w:r w:rsidR="005C625D">
              <w:rPr>
                <w:rStyle w:val="normaltextrun"/>
                <w:rFonts w:ascii="Arial Narrow" w:hAnsi="Arial Narrow" w:cs="Segoe UI"/>
                <w:sz w:val="22"/>
                <w:szCs w:val="22"/>
              </w:rPr>
              <w:t xml:space="preserve">llanta usada a procesos de </w:t>
            </w:r>
            <w:r w:rsidR="00FC3827">
              <w:rPr>
                <w:rStyle w:val="normaltextrun"/>
                <w:rFonts w:ascii="Arial Narrow" w:hAnsi="Arial Narrow" w:cs="Segoe UI"/>
                <w:sz w:val="22"/>
                <w:szCs w:val="22"/>
              </w:rPr>
              <w:t>reciclaje</w:t>
            </w:r>
            <w:r w:rsidRPr="00B96775">
              <w:rPr>
                <w:rStyle w:val="normaltextrun"/>
                <w:rFonts w:ascii="Arial Narrow" w:hAnsi="Arial Narrow" w:cs="Segoe UI"/>
                <w:sz w:val="22"/>
                <w:szCs w:val="22"/>
              </w:rPr>
              <w:t>.</w:t>
            </w:r>
          </w:p>
          <w:p w14:paraId="4887D1EE" w14:textId="77777777" w:rsidR="00B96775" w:rsidRPr="00B96775" w:rsidRDefault="00B96775" w:rsidP="00B36AA9">
            <w:pPr>
              <w:pStyle w:val="paragraph"/>
              <w:spacing w:before="0" w:beforeAutospacing="0" w:after="0" w:afterAutospacing="0"/>
              <w:ind w:left="357"/>
              <w:jc w:val="both"/>
              <w:textAlignment w:val="baseline"/>
              <w:rPr>
                <w:rFonts w:ascii="Arial Narrow" w:hAnsi="Arial Narrow" w:cs="Segoe UI"/>
                <w:sz w:val="22"/>
                <w:szCs w:val="22"/>
              </w:rPr>
            </w:pPr>
          </w:p>
          <w:p w14:paraId="63DD30B0" w14:textId="71288952" w:rsidR="00B66C72" w:rsidRPr="00B96775" w:rsidRDefault="00B66C72" w:rsidP="00155EC3">
            <w:pPr>
              <w:pStyle w:val="paragraph"/>
              <w:numPr>
                <w:ilvl w:val="0"/>
                <w:numId w:val="21"/>
              </w:numPr>
              <w:spacing w:before="0" w:beforeAutospacing="0" w:after="0" w:afterAutospacing="0"/>
              <w:jc w:val="both"/>
              <w:textAlignment w:val="baseline"/>
              <w:rPr>
                <w:rFonts w:ascii="Arial Narrow" w:hAnsi="Arial Narrow" w:cs="Segoe UI"/>
                <w:sz w:val="22"/>
                <w:szCs w:val="22"/>
              </w:rPr>
            </w:pPr>
            <w:r w:rsidRPr="00B96775">
              <w:rPr>
                <w:rStyle w:val="normaltextrun"/>
                <w:rFonts w:ascii="Arial Narrow" w:hAnsi="Arial Narrow" w:cs="Segoe UI"/>
                <w:b/>
                <w:bCs/>
                <w:sz w:val="22"/>
                <w:szCs w:val="22"/>
              </w:rPr>
              <w:t>Aumento significativo de importaciones de llantas de bicicletas, motocicletas, motociclos, ciclomotores o</w:t>
            </w:r>
            <w:r w:rsidR="00B96775">
              <w:rPr>
                <w:rStyle w:val="normaltextrun"/>
                <w:rFonts w:ascii="Arial Narrow" w:hAnsi="Arial Narrow" w:cs="Segoe UI"/>
                <w:b/>
                <w:bCs/>
                <w:sz w:val="22"/>
                <w:szCs w:val="22"/>
              </w:rPr>
              <w:t xml:space="preserve"> </w:t>
            </w:r>
            <w:proofErr w:type="spellStart"/>
            <w:r w:rsidRPr="00B96775">
              <w:rPr>
                <w:rStyle w:val="normaltextrun"/>
                <w:rFonts w:ascii="Arial Narrow" w:hAnsi="Arial Narrow" w:cs="Segoe UI"/>
                <w:b/>
                <w:bCs/>
                <w:sz w:val="22"/>
                <w:szCs w:val="22"/>
              </w:rPr>
              <w:t>Moped</w:t>
            </w:r>
            <w:proofErr w:type="spellEnd"/>
            <w:r w:rsidR="00B96775">
              <w:rPr>
                <w:rStyle w:val="normaltextrun"/>
                <w:rFonts w:ascii="Arial Narrow" w:hAnsi="Arial Narrow" w:cs="Segoe UI"/>
                <w:b/>
                <w:bCs/>
                <w:sz w:val="22"/>
                <w:szCs w:val="22"/>
              </w:rPr>
              <w:t xml:space="preserve"> </w:t>
            </w:r>
            <w:r w:rsidRPr="00B96775">
              <w:rPr>
                <w:rStyle w:val="normaltextrun"/>
                <w:rFonts w:ascii="Arial Narrow" w:hAnsi="Arial Narrow" w:cs="Segoe UI"/>
                <w:b/>
                <w:bCs/>
                <w:sz w:val="22"/>
                <w:szCs w:val="22"/>
              </w:rPr>
              <w:t>y de vehículos fuera de carretera, frente a las metas de recolección selectiva vigentes</w:t>
            </w:r>
          </w:p>
          <w:p w14:paraId="5AEEE8B8" w14:textId="77777777" w:rsidR="00B96775" w:rsidRDefault="00B96775"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35858C0D" w14:textId="2BE64D31" w:rsidR="00C50F2C" w:rsidRDefault="00B66C72"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r w:rsidRPr="00B96775">
              <w:rPr>
                <w:rStyle w:val="normaltextrun"/>
                <w:rFonts w:ascii="Arial Narrow" w:hAnsi="Arial Narrow" w:cs="Segoe UI"/>
                <w:sz w:val="22"/>
                <w:szCs w:val="22"/>
              </w:rPr>
              <w:t>En la revisión de importaciones de llantas y vehículos</w:t>
            </w:r>
            <w:r w:rsidR="00B96775">
              <w:rPr>
                <w:rStyle w:val="normaltextrun"/>
                <w:rFonts w:ascii="Arial Narrow" w:hAnsi="Arial Narrow" w:cs="Segoe UI"/>
                <w:sz w:val="22"/>
                <w:szCs w:val="22"/>
              </w:rPr>
              <w:t>,</w:t>
            </w:r>
            <w:r w:rsidRPr="00B96775">
              <w:rPr>
                <w:rStyle w:val="normaltextrun"/>
                <w:rFonts w:ascii="Arial Narrow" w:hAnsi="Arial Narrow" w:cs="Segoe UI"/>
                <w:sz w:val="22"/>
                <w:szCs w:val="22"/>
              </w:rPr>
              <w:t xml:space="preserve"> realizada por el Ministerio de Ambiente y Desarrollo Sostenible se identificó que, entre 2017 y 2024, las importaciones de llantas para motocicletas y de motocicletas aumentaron 1.340 % y 108 % respectivamente (</w:t>
            </w:r>
            <w:proofErr w:type="spellStart"/>
            <w:r w:rsidRPr="00B96775">
              <w:rPr>
                <w:rStyle w:val="normaltextrun"/>
                <w:rFonts w:ascii="Arial Narrow" w:hAnsi="Arial Narrow" w:cs="Segoe UI"/>
                <w:sz w:val="22"/>
                <w:szCs w:val="22"/>
              </w:rPr>
              <w:t>Legiscomex</w:t>
            </w:r>
            <w:proofErr w:type="spellEnd"/>
            <w:r w:rsidRPr="00B96775">
              <w:rPr>
                <w:rStyle w:val="normaltextrun"/>
                <w:rFonts w:ascii="Arial Narrow" w:hAnsi="Arial Narrow" w:cs="Segoe UI"/>
                <w:sz w:val="22"/>
                <w:szCs w:val="22"/>
              </w:rPr>
              <w:t xml:space="preserve">, 2025). </w:t>
            </w:r>
            <w:r w:rsidR="00C50F2C" w:rsidRPr="00141D17">
              <w:rPr>
                <w:rFonts w:ascii="Arial Narrow" w:hAnsi="Arial Narrow"/>
                <w:sz w:val="22"/>
                <w:szCs w:val="22"/>
              </w:rPr>
              <w:t>Este crecimiento representa un aumento en la cantidad de llantas que ingresan al mercado nacional y que, una vez finalizada su vida útil, deben ser objeto de recolección y gestión ambiental.</w:t>
            </w:r>
          </w:p>
          <w:p w14:paraId="34E763A4" w14:textId="77777777" w:rsidR="00C50F2C" w:rsidRDefault="00C50F2C"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297DB142" w14:textId="3DF4885B" w:rsidR="00B96775" w:rsidRDefault="00C50F2C" w:rsidP="00B36AA9">
            <w:pPr>
              <w:pStyle w:val="paragraph"/>
              <w:spacing w:before="0" w:beforeAutospacing="0" w:after="0" w:afterAutospacing="0"/>
              <w:ind w:left="357"/>
              <w:jc w:val="both"/>
              <w:textAlignment w:val="baseline"/>
              <w:rPr>
                <w:rFonts w:ascii="Arial Narrow" w:hAnsi="Arial Narrow"/>
                <w:sz w:val="22"/>
                <w:szCs w:val="22"/>
              </w:rPr>
            </w:pPr>
            <w:r w:rsidRPr="00141D17">
              <w:rPr>
                <w:rFonts w:ascii="Arial Narrow" w:hAnsi="Arial Narrow"/>
                <w:sz w:val="22"/>
                <w:szCs w:val="22"/>
              </w:rPr>
              <w:t>Sin embargo, las metas de recolección selectiva y gestión ambiental vigentes para este tipo de llantas no han aumentado de manera proporcional al crecimiento de las importaciones. Esta situación puede generar un incremento en las cantidades de llantas usadas que no son recolectadas y gestionadas adecuadamente, aumentando el riesgo de que sean objeto de prácticas de manejo inadecuadas o de disposición no autorizada, con los consecuentes impactos negativos sobre el ambiente.</w:t>
            </w:r>
          </w:p>
          <w:p w14:paraId="691FDB01" w14:textId="77777777" w:rsidR="00C50F2C" w:rsidRPr="00B96775" w:rsidRDefault="00C50F2C"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51E692D9" w14:textId="77363152" w:rsidR="00B66C72" w:rsidRPr="00B96775" w:rsidRDefault="00B66C72" w:rsidP="00C95062">
            <w:pPr>
              <w:pStyle w:val="paragraph"/>
              <w:numPr>
                <w:ilvl w:val="0"/>
                <w:numId w:val="21"/>
              </w:numPr>
              <w:spacing w:before="0" w:beforeAutospacing="0" w:after="0" w:afterAutospacing="0"/>
              <w:jc w:val="both"/>
              <w:textAlignment w:val="baseline"/>
              <w:rPr>
                <w:rFonts w:ascii="Arial Narrow" w:hAnsi="Arial Narrow" w:cs="Segoe UI"/>
                <w:sz w:val="22"/>
                <w:szCs w:val="22"/>
              </w:rPr>
            </w:pPr>
            <w:r w:rsidRPr="00B96775">
              <w:rPr>
                <w:rStyle w:val="normaltextrun"/>
                <w:rFonts w:ascii="Arial Narrow" w:hAnsi="Arial Narrow" w:cs="Segoe UI"/>
                <w:b/>
                <w:bCs/>
                <w:sz w:val="22"/>
                <w:szCs w:val="22"/>
              </w:rPr>
              <w:t xml:space="preserve">Concentración de la gestión de llantas usadas en los grandes centros urbanos, en detrimento </w:t>
            </w:r>
            <w:r w:rsidR="00C50F2C">
              <w:rPr>
                <w:rStyle w:val="normaltextrun"/>
                <w:rFonts w:ascii="Arial Narrow" w:hAnsi="Arial Narrow" w:cs="Segoe UI"/>
                <w:b/>
                <w:bCs/>
                <w:sz w:val="22"/>
                <w:szCs w:val="22"/>
              </w:rPr>
              <w:t>a la cobertura en</w:t>
            </w:r>
            <w:r w:rsidRPr="00B96775">
              <w:rPr>
                <w:rStyle w:val="normaltextrun"/>
                <w:rFonts w:ascii="Arial Narrow" w:hAnsi="Arial Narrow" w:cs="Segoe UI"/>
                <w:b/>
                <w:bCs/>
                <w:sz w:val="22"/>
                <w:szCs w:val="22"/>
              </w:rPr>
              <w:t xml:space="preserve"> municipios intermedios y apartados</w:t>
            </w:r>
          </w:p>
          <w:p w14:paraId="65D078DE" w14:textId="77777777" w:rsidR="00B96775" w:rsidRDefault="00B96775"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577AEED6" w14:textId="3FA269EE" w:rsidR="00B96775" w:rsidRDefault="00B66C72"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r w:rsidRPr="00B96775">
              <w:rPr>
                <w:rStyle w:val="normaltextrun"/>
                <w:rFonts w:ascii="Arial Narrow" w:hAnsi="Arial Narrow" w:cs="Segoe UI"/>
                <w:sz w:val="22"/>
                <w:szCs w:val="22"/>
              </w:rPr>
              <w:t xml:space="preserve">Los regulados concentran la gestión de llantas usadas en los grandes centros urbanos, </w:t>
            </w:r>
            <w:r w:rsidR="00C50F2C">
              <w:rPr>
                <w:rStyle w:val="normaltextrun"/>
                <w:rFonts w:ascii="Arial Narrow" w:hAnsi="Arial Narrow" w:cs="Segoe UI"/>
                <w:sz w:val="22"/>
                <w:szCs w:val="22"/>
              </w:rPr>
              <w:t>cubriendo en menor cantidad los</w:t>
            </w:r>
            <w:r w:rsidRPr="00B96775">
              <w:rPr>
                <w:rStyle w:val="normaltextrun"/>
                <w:rFonts w:ascii="Arial Narrow" w:hAnsi="Arial Narrow" w:cs="Segoe UI"/>
                <w:sz w:val="22"/>
                <w:szCs w:val="22"/>
              </w:rPr>
              <w:t xml:space="preserve"> municipios intermedios y apartados, lo que </w:t>
            </w:r>
            <w:r w:rsidR="00806038" w:rsidRPr="00B96775">
              <w:rPr>
                <w:rStyle w:val="normaltextrun"/>
                <w:rFonts w:ascii="Arial Narrow" w:hAnsi="Arial Narrow" w:cs="Segoe UI"/>
                <w:sz w:val="22"/>
                <w:szCs w:val="22"/>
              </w:rPr>
              <w:t>puede generar</w:t>
            </w:r>
            <w:r w:rsidRPr="00B96775">
              <w:rPr>
                <w:rStyle w:val="normaltextrun"/>
                <w:rFonts w:ascii="Arial Narrow" w:hAnsi="Arial Narrow" w:cs="Segoe UI"/>
                <w:sz w:val="22"/>
                <w:szCs w:val="22"/>
              </w:rPr>
              <w:t xml:space="preserve"> focos de almacenamiento inadecuado en zonas con menor capacidad instalada e institucional y</w:t>
            </w:r>
            <w:r w:rsidR="00806038" w:rsidRPr="00B96775">
              <w:rPr>
                <w:rStyle w:val="normaltextrun"/>
                <w:rFonts w:ascii="Arial Narrow" w:hAnsi="Arial Narrow" w:cs="Segoe UI"/>
                <w:sz w:val="22"/>
                <w:szCs w:val="22"/>
              </w:rPr>
              <w:t xml:space="preserve"> la posibilidad de</w:t>
            </w:r>
            <w:r w:rsidRPr="00B96775">
              <w:rPr>
                <w:rStyle w:val="normaltextrun"/>
                <w:rFonts w:ascii="Arial Narrow" w:hAnsi="Arial Narrow" w:cs="Segoe UI"/>
                <w:sz w:val="22"/>
                <w:szCs w:val="22"/>
              </w:rPr>
              <w:t xml:space="preserve"> mayor riesgo de afectaciones ambientales. En el caso del archipiélago de San Andrés, Providencia y Santa Catalina, la norma vigente establece la obligación de aten</w:t>
            </w:r>
            <w:r w:rsidR="00806038" w:rsidRPr="00B96775">
              <w:rPr>
                <w:rStyle w:val="normaltextrun"/>
                <w:rFonts w:ascii="Arial Narrow" w:hAnsi="Arial Narrow" w:cs="Segoe UI"/>
                <w:sz w:val="22"/>
                <w:szCs w:val="22"/>
              </w:rPr>
              <w:t>der</w:t>
            </w:r>
            <w:r w:rsidRPr="00B96775">
              <w:rPr>
                <w:rStyle w:val="normaltextrun"/>
                <w:rFonts w:ascii="Arial Narrow" w:hAnsi="Arial Narrow" w:cs="Segoe UI"/>
                <w:sz w:val="22"/>
                <w:szCs w:val="22"/>
              </w:rPr>
              <w:t xml:space="preserve"> este territorio, pero no l</w:t>
            </w:r>
            <w:r w:rsidR="00806038" w:rsidRPr="00B96775">
              <w:rPr>
                <w:rStyle w:val="normaltextrun"/>
                <w:rFonts w:ascii="Arial Narrow" w:hAnsi="Arial Narrow" w:cs="Segoe UI"/>
                <w:sz w:val="22"/>
                <w:szCs w:val="22"/>
              </w:rPr>
              <w:t xml:space="preserve">e asigna puntaje a su cobertura </w:t>
            </w:r>
            <w:r w:rsidRPr="00B96775">
              <w:rPr>
                <w:rStyle w:val="normaltextrun"/>
                <w:rFonts w:ascii="Arial Narrow" w:hAnsi="Arial Narrow" w:cs="Segoe UI"/>
                <w:sz w:val="22"/>
                <w:szCs w:val="22"/>
              </w:rPr>
              <w:t>en la metodología multicriterio de evaluación de cumplimiento</w:t>
            </w:r>
            <w:r w:rsidR="005B6631" w:rsidRPr="00B96775">
              <w:rPr>
                <w:rStyle w:val="normaltextrun"/>
                <w:rFonts w:ascii="Arial Narrow" w:hAnsi="Arial Narrow" w:cs="Segoe UI"/>
                <w:sz w:val="22"/>
                <w:szCs w:val="22"/>
              </w:rPr>
              <w:t>, por lo que al incumplir su recolección y gestión ambiental en este territorio no afecta el cumplimiento de metas del regulado</w:t>
            </w:r>
            <w:r w:rsidRPr="00B96775">
              <w:rPr>
                <w:rStyle w:val="normaltextrun"/>
                <w:rFonts w:ascii="Arial Narrow" w:hAnsi="Arial Narrow" w:cs="Segoe UI"/>
                <w:sz w:val="22"/>
                <w:szCs w:val="22"/>
              </w:rPr>
              <w:t xml:space="preserve">. </w:t>
            </w:r>
          </w:p>
          <w:p w14:paraId="28270796" w14:textId="77777777" w:rsidR="00B96775" w:rsidRDefault="00B96775"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159C806D" w14:textId="7C5ADDE7" w:rsidR="00B66C72" w:rsidRDefault="00B66C72"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r w:rsidRPr="00B96775">
              <w:rPr>
                <w:rStyle w:val="normaltextrun"/>
                <w:rFonts w:ascii="Arial Narrow" w:hAnsi="Arial Narrow" w:cs="Segoe UI"/>
                <w:sz w:val="22"/>
                <w:szCs w:val="22"/>
              </w:rPr>
              <w:t xml:space="preserve">Adicionalmente, según información suministrada por la alcaldía de Villavicencio, existen puntos críticos de acumulación persistente de llantas usadas en ese municipio, </w:t>
            </w:r>
            <w:r w:rsidR="00806038" w:rsidRPr="00B96775">
              <w:rPr>
                <w:rStyle w:val="normaltextrun"/>
                <w:rFonts w:ascii="Arial Narrow" w:hAnsi="Arial Narrow" w:cs="Segoe UI"/>
                <w:sz w:val="22"/>
                <w:szCs w:val="22"/>
              </w:rPr>
              <w:t>por lo que es necesario adicionarlo en la propuesta normativa.</w:t>
            </w:r>
          </w:p>
          <w:p w14:paraId="44FFF402" w14:textId="77777777" w:rsidR="00B96775" w:rsidRPr="00B96775" w:rsidRDefault="00B96775" w:rsidP="00B36AA9">
            <w:pPr>
              <w:pStyle w:val="paragraph"/>
              <w:spacing w:before="0" w:beforeAutospacing="0" w:after="0" w:afterAutospacing="0"/>
              <w:ind w:left="357"/>
              <w:jc w:val="both"/>
              <w:textAlignment w:val="baseline"/>
              <w:rPr>
                <w:rFonts w:ascii="Arial Narrow" w:hAnsi="Arial Narrow" w:cs="Segoe UI"/>
                <w:sz w:val="22"/>
                <w:szCs w:val="22"/>
              </w:rPr>
            </w:pPr>
          </w:p>
          <w:p w14:paraId="2FF79729" w14:textId="12D5EC48" w:rsidR="00B66C72" w:rsidRDefault="00B66C72" w:rsidP="00B36AA9">
            <w:pPr>
              <w:pStyle w:val="paragraph"/>
              <w:spacing w:before="0" w:beforeAutospacing="0" w:after="0" w:afterAutospacing="0"/>
              <w:ind w:left="357"/>
              <w:jc w:val="both"/>
              <w:textAlignment w:val="baseline"/>
              <w:rPr>
                <w:rStyle w:val="eop"/>
              </w:rPr>
            </w:pPr>
            <w:r w:rsidRPr="00B96775">
              <w:rPr>
                <w:rStyle w:val="normaltextrun"/>
                <w:rFonts w:ascii="Arial Narrow" w:hAnsi="Arial Narrow" w:cs="Segoe UI"/>
                <w:sz w:val="22"/>
                <w:szCs w:val="22"/>
              </w:rPr>
              <w:t>De igual forma, la metodología multicriterio solo asigna puntaje a la implementación de puntos de recolección fijos en municipios de categoría 2, sin contemplar mecanismos de recolección equivalentes, lo que limita la cobertura por los altos costos de implementación y mantenimiento de un punto fijo en municipios donde no se genera una cantidad representativa de llantas para recolecciones mensuales.</w:t>
            </w:r>
          </w:p>
          <w:p w14:paraId="33D643F9" w14:textId="77777777" w:rsidR="00B96775" w:rsidRPr="00B96775" w:rsidRDefault="00B96775" w:rsidP="00B36AA9">
            <w:pPr>
              <w:pStyle w:val="paragraph"/>
              <w:spacing w:before="0" w:beforeAutospacing="0" w:after="0" w:afterAutospacing="0"/>
              <w:ind w:left="357"/>
              <w:jc w:val="both"/>
              <w:textAlignment w:val="baseline"/>
              <w:rPr>
                <w:rStyle w:val="eop"/>
                <w:rFonts w:ascii="Arial Narrow" w:hAnsi="Arial Narrow" w:cs="Segoe UI"/>
                <w:sz w:val="22"/>
                <w:szCs w:val="22"/>
              </w:rPr>
            </w:pPr>
          </w:p>
          <w:p w14:paraId="0A14FE74" w14:textId="576DFF90" w:rsidR="00CE4F85" w:rsidRDefault="00CE4F85" w:rsidP="00CE4F85">
            <w:pPr>
              <w:pStyle w:val="paragraph"/>
              <w:spacing w:before="0" w:beforeAutospacing="0" w:after="0" w:afterAutospacing="0"/>
              <w:ind w:left="357"/>
              <w:jc w:val="both"/>
              <w:textAlignment w:val="baseline"/>
              <w:rPr>
                <w:rStyle w:val="normaltextrun"/>
                <w:rFonts w:ascii="Arial Narrow" w:hAnsi="Arial Narrow" w:cs="Segoe UI"/>
                <w:b/>
                <w:bCs/>
                <w:sz w:val="22"/>
                <w:szCs w:val="22"/>
              </w:rPr>
            </w:pPr>
            <w:r w:rsidRPr="00CE4F85">
              <w:rPr>
                <w:rStyle w:val="normaltextrun"/>
                <w:rFonts w:ascii="Arial Narrow" w:hAnsi="Arial Narrow" w:cs="Segoe UI"/>
                <w:b/>
                <w:bCs/>
                <w:sz w:val="22"/>
                <w:szCs w:val="22"/>
              </w:rPr>
              <w:lastRenderedPageBreak/>
              <w:t>• Necesidad de incluir una meta de recolección y gestión ambiental en función del peso de las llantas producidas o importadas</w:t>
            </w:r>
          </w:p>
          <w:p w14:paraId="31F21161" w14:textId="77777777" w:rsidR="00CE4F85" w:rsidRPr="00CE4F85" w:rsidRDefault="00CE4F85" w:rsidP="00CE4F85">
            <w:pPr>
              <w:pStyle w:val="paragraph"/>
              <w:spacing w:before="0" w:beforeAutospacing="0" w:after="0" w:afterAutospacing="0"/>
              <w:ind w:left="357"/>
              <w:jc w:val="both"/>
              <w:textAlignment w:val="baseline"/>
              <w:rPr>
                <w:rStyle w:val="normaltextrun"/>
                <w:rFonts w:ascii="Arial Narrow" w:hAnsi="Arial Narrow" w:cs="Segoe UI"/>
                <w:b/>
                <w:bCs/>
                <w:sz w:val="22"/>
                <w:szCs w:val="22"/>
              </w:rPr>
            </w:pPr>
          </w:p>
          <w:p w14:paraId="62726CD9" w14:textId="2E917674" w:rsidR="00CE4F85" w:rsidRDefault="00CE4F85" w:rsidP="00CE4F85">
            <w:pPr>
              <w:pStyle w:val="paragraph"/>
              <w:spacing w:before="0" w:beforeAutospacing="0" w:after="0" w:afterAutospacing="0"/>
              <w:ind w:left="357"/>
              <w:jc w:val="both"/>
              <w:textAlignment w:val="baseline"/>
              <w:rPr>
                <w:rStyle w:val="normaltextrun"/>
                <w:rFonts w:ascii="Arial Narrow" w:hAnsi="Arial Narrow" w:cs="Segoe UI"/>
                <w:sz w:val="22"/>
                <w:szCs w:val="22"/>
              </w:rPr>
            </w:pPr>
            <w:r w:rsidRPr="00CE4F85">
              <w:rPr>
                <w:rStyle w:val="normaltextrun"/>
                <w:rFonts w:ascii="Arial Narrow" w:hAnsi="Arial Narrow" w:cs="Segoe UI"/>
                <w:sz w:val="22"/>
                <w:szCs w:val="22"/>
              </w:rPr>
              <w:t>Con base en la evaluación realizada por la ANLA a los informes anuales presentados por los regulados, el Ministerio de Ambiente y Desarrollo Sostenible identificó que el cumplimiento de las metas de recolección y gestión ambiental, expresadas únicamente en número de unidades, puede no reflejar la cantidad de material efectivamente gestionado. Esta situación se evidencia al comparar el peso de las llantas producidas o importadas con el peso de las llantas usadas recolectadas y gestionadas.</w:t>
            </w:r>
          </w:p>
          <w:p w14:paraId="1D7A0D2B" w14:textId="77777777" w:rsidR="00CE4F85" w:rsidRPr="00CE4F85" w:rsidRDefault="00CE4F85" w:rsidP="00CE4F85">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5AC6B053" w14:textId="6E57F9F8" w:rsidR="00CE4F85" w:rsidRDefault="00CE4F85" w:rsidP="00CE4F85">
            <w:pPr>
              <w:pStyle w:val="paragraph"/>
              <w:spacing w:before="0" w:beforeAutospacing="0" w:after="0" w:afterAutospacing="0"/>
              <w:ind w:left="357"/>
              <w:jc w:val="both"/>
              <w:textAlignment w:val="baseline"/>
              <w:rPr>
                <w:rStyle w:val="normaltextrun"/>
                <w:rFonts w:ascii="Arial Narrow" w:hAnsi="Arial Narrow" w:cs="Segoe UI"/>
                <w:sz w:val="22"/>
                <w:szCs w:val="22"/>
              </w:rPr>
            </w:pPr>
            <w:r w:rsidRPr="00CE4F85">
              <w:rPr>
                <w:rStyle w:val="normaltextrun"/>
                <w:rFonts w:ascii="Arial Narrow" w:hAnsi="Arial Narrow" w:cs="Segoe UI"/>
                <w:sz w:val="22"/>
                <w:szCs w:val="22"/>
              </w:rPr>
              <w:t>En la evaluación correspondiente al periodo 2024, la ANLA determinó que uno de los planes posconsumo tenía una meta de recolección y gestión de 3.699.181 unidades de llantas, correspondientes a 113.078.189 kg (113.078,2 toneladas), lo que equivale a un peso promedio de 30,56 kg por llanta. No obstante, el cumplimiento de la meta validado por la ANLA correspondió a 3.569.481 unidades, con un peso total de 49.141.897,2 kg (49.141,9 toneladas), equivalente a un peso promedio de 13,76 kg por llanta.</w:t>
            </w:r>
          </w:p>
          <w:p w14:paraId="401D86A5" w14:textId="77777777" w:rsidR="00CE4F85" w:rsidRPr="00CE4F85" w:rsidRDefault="00CE4F85" w:rsidP="00CE4F85">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136744C9" w14:textId="47C342FB" w:rsidR="00CE4F85" w:rsidRDefault="00CE4F85" w:rsidP="00CE4F85">
            <w:pPr>
              <w:pStyle w:val="paragraph"/>
              <w:spacing w:before="0" w:beforeAutospacing="0" w:after="0" w:afterAutospacing="0"/>
              <w:ind w:left="357"/>
              <w:jc w:val="both"/>
              <w:textAlignment w:val="baseline"/>
              <w:rPr>
                <w:rStyle w:val="normaltextrun"/>
                <w:rFonts w:ascii="Arial Narrow" w:hAnsi="Arial Narrow" w:cs="Segoe UI"/>
                <w:sz w:val="22"/>
                <w:szCs w:val="22"/>
              </w:rPr>
            </w:pPr>
            <w:r w:rsidRPr="00CE4F85">
              <w:rPr>
                <w:rStyle w:val="normaltextrun"/>
                <w:rFonts w:ascii="Arial Narrow" w:hAnsi="Arial Narrow" w:cs="Segoe UI"/>
                <w:sz w:val="22"/>
                <w:szCs w:val="22"/>
              </w:rPr>
              <w:t>La diferencia entre el peso promedio de las llantas producidas o importadas y el de las llantas efectivamente recolectadas y gestionadas corresponde a 16,8 kg por llanta. Si esta diferencia se aplica a las 3.699.181 unidades que constituían la meta de recolección y gestión, representa una diferencia equivalente de 62.150.680,93 kg (62.150,7 toneladas). Esta diferencia de peso equivale aproximadamente a dejar de recoger y gestionar 2.033.167 unidades de llantas, al utilizar como referencia el peso promedio de 30,56 kg por llanta correspondiente a las llantas producidas o importadas.</w:t>
            </w:r>
          </w:p>
          <w:p w14:paraId="28ED6543" w14:textId="77777777" w:rsidR="00CE4F85" w:rsidRPr="00CE4F85" w:rsidRDefault="00CE4F85" w:rsidP="00CE4F85">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5C1A6418" w14:textId="5D9F0D14" w:rsidR="00E74159" w:rsidRPr="00CE4F85" w:rsidRDefault="00CE4F85" w:rsidP="00CE4F85">
            <w:pPr>
              <w:pStyle w:val="paragraph"/>
              <w:spacing w:before="0" w:beforeAutospacing="0" w:after="0" w:afterAutospacing="0"/>
              <w:ind w:left="357"/>
              <w:jc w:val="both"/>
              <w:textAlignment w:val="baseline"/>
              <w:rPr>
                <w:rStyle w:val="normaltextrun"/>
                <w:rFonts w:ascii="Arial Narrow" w:hAnsi="Arial Narrow" w:cs="Segoe UI"/>
                <w:sz w:val="22"/>
                <w:szCs w:val="22"/>
                <w:lang w:val="es-ES"/>
              </w:rPr>
            </w:pPr>
            <w:r w:rsidRPr="00CE4F85">
              <w:rPr>
                <w:rStyle w:val="normaltextrun"/>
                <w:rFonts w:ascii="Arial Narrow" w:hAnsi="Arial Narrow" w:cs="Segoe UI"/>
                <w:sz w:val="22"/>
                <w:szCs w:val="22"/>
              </w:rPr>
              <w:t>Esta situación evidencia que el cumplimiento de la meta expresada en número de unidades no necesariamente garantiza la gestión de una cantidad equivalente de llantas en términos de peso. En consecuencia, resulta necesario complementar la meta expresada en número de unidades con una meta de recolección y gestión ambiental expresada en función del peso de las llantas producidas o importadas, con el fin de asegurar una mayor correspondencia entre las cantidades introducidas al mercado y las cantidades efectivamente recolectadas y gestionadas</w:t>
            </w:r>
            <w:r>
              <w:rPr>
                <w:rStyle w:val="normaltextrun"/>
                <w:rFonts w:ascii="Arial Narrow" w:hAnsi="Arial Narrow" w:cs="Segoe UI"/>
                <w:sz w:val="22"/>
                <w:szCs w:val="22"/>
              </w:rPr>
              <w:t xml:space="preserve"> para cumplir las metas establecidas por la normatividad</w:t>
            </w:r>
            <w:r w:rsidRPr="00CE4F85">
              <w:rPr>
                <w:rStyle w:val="normaltextrun"/>
                <w:rFonts w:ascii="Arial Narrow" w:hAnsi="Arial Narrow" w:cs="Segoe UI"/>
                <w:sz w:val="22"/>
                <w:szCs w:val="22"/>
              </w:rPr>
              <w:t>.</w:t>
            </w:r>
            <w:r w:rsidR="001E1C2D">
              <w:rPr>
                <w:rStyle w:val="normaltextrun"/>
                <w:rFonts w:ascii="Arial Narrow" w:hAnsi="Arial Narrow" w:cs="Segoe UI"/>
                <w:sz w:val="22"/>
                <w:szCs w:val="22"/>
              </w:rPr>
              <w:t xml:space="preserve"> </w:t>
            </w:r>
            <w:r w:rsidR="001E1C2D" w:rsidRPr="001E1C2D">
              <w:rPr>
                <w:rStyle w:val="normaltextrun"/>
                <w:rFonts w:ascii="Arial Narrow" w:hAnsi="Arial Narrow" w:cs="Segoe UI"/>
                <w:sz w:val="22"/>
                <w:szCs w:val="22"/>
              </w:rPr>
              <w:t>Sin embargo, para determinar la meta de recolección y gestión ambiental expresada en peso, es necesario considerar la pérdida de masa que experimentan las llantas durante su vida útil como consecuencia del desgaste. Por lo tanto, este factor deberá ser tenido en cuenta para establecer la relación entre la meta expresada en unidades y la nueva meta expresada en peso que se incorporará a la regulación.</w:t>
            </w:r>
          </w:p>
          <w:p w14:paraId="39A63198" w14:textId="0F9D3388" w:rsidR="009F08C4" w:rsidRPr="00B96775" w:rsidRDefault="009F08C4" w:rsidP="00B74FD3">
            <w:pPr>
              <w:pStyle w:val="paragraph"/>
              <w:spacing w:before="0" w:beforeAutospacing="0" w:after="0" w:afterAutospacing="0"/>
              <w:jc w:val="both"/>
              <w:textAlignment w:val="baseline"/>
              <w:rPr>
                <w:rStyle w:val="normaltextrun"/>
                <w:rFonts w:ascii="Arial Narrow" w:hAnsi="Arial Narrow" w:cs="Segoe UI"/>
                <w:sz w:val="22"/>
                <w:szCs w:val="22"/>
              </w:rPr>
            </w:pPr>
          </w:p>
          <w:p w14:paraId="486ED743" w14:textId="093DDB05" w:rsidR="00B66C72" w:rsidRPr="00B96775" w:rsidRDefault="00B66C72" w:rsidP="00880112">
            <w:pPr>
              <w:pStyle w:val="paragraph"/>
              <w:numPr>
                <w:ilvl w:val="0"/>
                <w:numId w:val="21"/>
              </w:numPr>
              <w:spacing w:before="0" w:beforeAutospacing="0" w:after="0" w:afterAutospacing="0"/>
              <w:jc w:val="both"/>
              <w:textAlignment w:val="baseline"/>
              <w:rPr>
                <w:rFonts w:ascii="Arial Narrow" w:hAnsi="Arial Narrow" w:cs="Segoe UI"/>
                <w:sz w:val="22"/>
                <w:szCs w:val="22"/>
              </w:rPr>
            </w:pPr>
            <w:bookmarkStart w:id="0" w:name="_Hlk235446480"/>
            <w:r w:rsidRPr="00B96775">
              <w:rPr>
                <w:rStyle w:val="normaltextrun"/>
                <w:rFonts w:ascii="Arial Narrow" w:hAnsi="Arial Narrow" w:cs="Segoe UI"/>
                <w:b/>
                <w:bCs/>
                <w:sz w:val="22"/>
                <w:szCs w:val="22"/>
              </w:rPr>
              <w:t xml:space="preserve">Otras deficiencias identificadas </w:t>
            </w:r>
            <w:r w:rsidR="009C2290" w:rsidRPr="00B96775">
              <w:rPr>
                <w:rStyle w:val="normaltextrun"/>
                <w:rFonts w:ascii="Arial Narrow" w:hAnsi="Arial Narrow" w:cs="Segoe UI"/>
                <w:b/>
                <w:bCs/>
                <w:sz w:val="22"/>
                <w:szCs w:val="22"/>
              </w:rPr>
              <w:t>al realizar</w:t>
            </w:r>
            <w:r w:rsidRPr="00B96775">
              <w:rPr>
                <w:rStyle w:val="normaltextrun"/>
                <w:rFonts w:ascii="Arial Narrow" w:hAnsi="Arial Narrow" w:cs="Segoe UI"/>
                <w:b/>
                <w:bCs/>
                <w:sz w:val="22"/>
                <w:szCs w:val="22"/>
              </w:rPr>
              <w:t xml:space="preserve"> seguimiento a la resolución</w:t>
            </w:r>
            <w:r w:rsidR="009C2290" w:rsidRPr="00B96775">
              <w:rPr>
                <w:rStyle w:val="normaltextrun"/>
                <w:rFonts w:ascii="Arial Narrow" w:hAnsi="Arial Narrow" w:cs="Segoe UI"/>
                <w:b/>
                <w:bCs/>
                <w:sz w:val="22"/>
                <w:szCs w:val="22"/>
              </w:rPr>
              <w:t xml:space="preserve"> 1326 de 2017</w:t>
            </w:r>
            <w:r w:rsidR="009C2290" w:rsidRPr="00B96775">
              <w:rPr>
                <w:rStyle w:val="eop"/>
                <w:rFonts w:ascii="Arial Narrow" w:hAnsi="Arial Narrow"/>
                <w:sz w:val="22"/>
                <w:szCs w:val="22"/>
              </w:rPr>
              <w:t>:</w:t>
            </w:r>
          </w:p>
          <w:p w14:paraId="062F43D1" w14:textId="77777777" w:rsidR="009F08C4" w:rsidRDefault="009F08C4" w:rsidP="00B36AA9">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0B58F727" w14:textId="77777777" w:rsidR="00C95062" w:rsidRDefault="00C95062" w:rsidP="00C95062">
            <w:pPr>
              <w:pStyle w:val="paragraph"/>
              <w:spacing w:before="0" w:beforeAutospacing="0" w:after="0" w:afterAutospacing="0"/>
              <w:ind w:left="357"/>
              <w:jc w:val="both"/>
              <w:textAlignment w:val="baseline"/>
              <w:rPr>
                <w:rStyle w:val="eop"/>
              </w:rPr>
            </w:pPr>
            <w:r w:rsidRPr="00B96775">
              <w:rPr>
                <w:rStyle w:val="normaltextrun"/>
                <w:rFonts w:ascii="Arial Narrow" w:hAnsi="Arial Narrow" w:cs="Segoe UI"/>
                <w:sz w:val="22"/>
                <w:szCs w:val="22"/>
              </w:rPr>
              <w:t xml:space="preserve">En reuniones con algunos actores de los Sistemas de Recolección Selectiva y Gestión Ambiental de Llantas Usadas y con la ANLA, se identificó que el reporte de nuevos integrantes y el cambio de integrantes entre Sistemas </w:t>
            </w:r>
            <w:r>
              <w:rPr>
                <w:rStyle w:val="normaltextrun"/>
                <w:rFonts w:ascii="Arial Narrow" w:hAnsi="Arial Narrow" w:cs="Segoe UI"/>
                <w:sz w:val="22"/>
                <w:szCs w:val="22"/>
              </w:rPr>
              <w:t xml:space="preserve">no está reglamentado en la resolución 1326 de 2017, por lo que este reporte </w:t>
            </w:r>
            <w:r w:rsidRPr="00B96775">
              <w:rPr>
                <w:rStyle w:val="normaltextrun"/>
                <w:rFonts w:ascii="Arial Narrow" w:hAnsi="Arial Narrow" w:cs="Segoe UI"/>
                <w:sz w:val="22"/>
                <w:szCs w:val="22"/>
              </w:rPr>
              <w:t xml:space="preserve">sólo se realiza en el informe de actualización y avance </w:t>
            </w:r>
            <w:r>
              <w:rPr>
                <w:rStyle w:val="normaltextrun"/>
                <w:rFonts w:ascii="Arial Narrow" w:hAnsi="Arial Narrow" w:cs="Segoe UI"/>
                <w:sz w:val="22"/>
                <w:szCs w:val="22"/>
              </w:rPr>
              <w:t>anual</w:t>
            </w:r>
            <w:r w:rsidRPr="00B96775">
              <w:rPr>
                <w:rStyle w:val="normaltextrun"/>
                <w:rFonts w:ascii="Arial Narrow" w:hAnsi="Arial Narrow" w:cs="Segoe UI"/>
                <w:sz w:val="22"/>
                <w:szCs w:val="22"/>
              </w:rPr>
              <w:t xml:space="preserve"> (1 de enero a 31 de diciembre), lo que impide a la Autoridad Ambiental contar con información actualizada sobre el movimiento de productores entre sistemas. Como consecuencia, en los informes de algunos productores, aparecen algunos actores vinculados a dos sistemas al mismo tiempo, lo que genera contradicciones que dificultan a la ANLA la validación de las actividades de cada Sistema.</w:t>
            </w:r>
          </w:p>
          <w:p w14:paraId="6F0E4392" w14:textId="77777777" w:rsidR="00C95062" w:rsidRPr="00B96775" w:rsidRDefault="00C95062" w:rsidP="00C95062">
            <w:pPr>
              <w:pStyle w:val="paragraph"/>
              <w:spacing w:before="0" w:beforeAutospacing="0" w:after="0" w:afterAutospacing="0"/>
              <w:jc w:val="both"/>
              <w:textAlignment w:val="baseline"/>
              <w:rPr>
                <w:rFonts w:ascii="Arial Narrow" w:hAnsi="Arial Narrow" w:cs="Segoe UI"/>
                <w:sz w:val="22"/>
                <w:szCs w:val="22"/>
              </w:rPr>
            </w:pPr>
          </w:p>
          <w:p w14:paraId="11431EEB" w14:textId="77777777" w:rsidR="00C95062" w:rsidRDefault="00C95062" w:rsidP="00C95062">
            <w:pPr>
              <w:pStyle w:val="paragraph"/>
              <w:spacing w:before="0" w:beforeAutospacing="0" w:after="0" w:afterAutospacing="0"/>
              <w:ind w:left="357"/>
              <w:jc w:val="both"/>
              <w:textAlignment w:val="baseline"/>
              <w:rPr>
                <w:rStyle w:val="eop"/>
              </w:rPr>
            </w:pPr>
            <w:r w:rsidRPr="00B96775">
              <w:rPr>
                <w:rStyle w:val="normaltextrun"/>
                <w:rFonts w:ascii="Arial Narrow" w:hAnsi="Arial Narrow" w:cs="Segoe UI"/>
                <w:sz w:val="22"/>
                <w:szCs w:val="22"/>
              </w:rPr>
              <w:t>Asimismo, se identificó que las obligaciones de los Montallantas son muy generales y no permiten establecer con certeza el destino de las llantas usadas que estos establecimientos manejan.</w:t>
            </w:r>
          </w:p>
          <w:p w14:paraId="5705DFFB" w14:textId="77777777" w:rsidR="00C95062" w:rsidRPr="00B96775" w:rsidRDefault="00C95062" w:rsidP="00C95062">
            <w:pPr>
              <w:pStyle w:val="paragraph"/>
              <w:spacing w:before="0" w:beforeAutospacing="0" w:after="0" w:afterAutospacing="0"/>
              <w:jc w:val="both"/>
              <w:textAlignment w:val="baseline"/>
              <w:rPr>
                <w:rFonts w:ascii="Arial Narrow" w:hAnsi="Arial Narrow" w:cs="Segoe UI"/>
                <w:sz w:val="22"/>
                <w:szCs w:val="22"/>
              </w:rPr>
            </w:pPr>
          </w:p>
          <w:p w14:paraId="176E8C62" w14:textId="77777777" w:rsidR="00C95062" w:rsidRPr="00B96775" w:rsidRDefault="00C95062" w:rsidP="00C95062">
            <w:pPr>
              <w:pStyle w:val="paragraph"/>
              <w:spacing w:before="0" w:beforeAutospacing="0" w:after="0" w:afterAutospacing="0"/>
              <w:ind w:left="357"/>
              <w:jc w:val="both"/>
              <w:textAlignment w:val="baseline"/>
              <w:rPr>
                <w:rFonts w:ascii="Arial Narrow" w:hAnsi="Arial Narrow" w:cs="Segoe UI"/>
                <w:sz w:val="22"/>
                <w:szCs w:val="22"/>
              </w:rPr>
            </w:pPr>
            <w:r w:rsidRPr="00B96775">
              <w:rPr>
                <w:rStyle w:val="normaltextrun"/>
                <w:rFonts w:ascii="Arial Narrow" w:hAnsi="Arial Narrow" w:cs="Segoe UI"/>
                <w:sz w:val="22"/>
                <w:szCs w:val="22"/>
              </w:rPr>
              <w:t>Finalmente, se ha identificado la comercialización de llantas usadas recibidas en el marco de la Responsabilidad Extendida del Productor</w:t>
            </w:r>
            <w:r>
              <w:rPr>
                <w:rStyle w:val="normaltextrun"/>
                <w:rFonts w:ascii="Arial Narrow" w:hAnsi="Arial Narrow" w:cs="Segoe UI"/>
                <w:sz w:val="22"/>
                <w:szCs w:val="22"/>
              </w:rPr>
              <w:t>,</w:t>
            </w:r>
            <w:r w:rsidRPr="00B96775">
              <w:rPr>
                <w:rStyle w:val="normaltextrun"/>
                <w:rFonts w:ascii="Arial Narrow" w:hAnsi="Arial Narrow" w:cs="Segoe UI"/>
                <w:sz w:val="22"/>
                <w:szCs w:val="22"/>
              </w:rPr>
              <w:t xml:space="preserve"> como llantas de segunda, pese a que su entrega a un Sistema implica que ya cumplieron su vida útil, sin que exista actualmente una prohibición expresa al respecto en la norma vigente.</w:t>
            </w:r>
          </w:p>
          <w:p w14:paraId="5BB8CD50" w14:textId="0618A08C" w:rsidR="009F08C4" w:rsidRDefault="009F08C4" w:rsidP="00C95062">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79D3D839" w14:textId="7CC48DC8" w:rsidR="00C95062" w:rsidRDefault="00C95062" w:rsidP="00C95062">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1B803D66" w14:textId="77777777" w:rsidR="00C95062" w:rsidRPr="00C95062" w:rsidRDefault="00C95062" w:rsidP="00C95062">
            <w:pPr>
              <w:pStyle w:val="paragraph"/>
              <w:spacing w:before="0" w:beforeAutospacing="0" w:after="0" w:afterAutospacing="0"/>
              <w:ind w:left="357"/>
              <w:jc w:val="both"/>
              <w:textAlignment w:val="baseline"/>
            </w:pPr>
          </w:p>
          <w:bookmarkEnd w:id="0"/>
          <w:p w14:paraId="6647BCEE" w14:textId="4AE7888C" w:rsidR="00E94DD9" w:rsidRPr="009F08C4" w:rsidRDefault="00E94DD9" w:rsidP="00B96775">
            <w:pPr>
              <w:numPr>
                <w:ilvl w:val="0"/>
                <w:numId w:val="12"/>
              </w:numPr>
              <w:ind w:left="357" w:right="470"/>
              <w:contextualSpacing/>
              <w:jc w:val="both"/>
              <w:rPr>
                <w:rFonts w:ascii="Arial Narrow" w:hAnsi="Arial Narrow" w:cs="Arial"/>
                <w:b/>
                <w:bCs/>
                <w:iCs/>
                <w:color w:val="000000"/>
                <w:sz w:val="22"/>
                <w:szCs w:val="22"/>
                <w:u w:val="single"/>
              </w:rPr>
            </w:pPr>
            <w:r w:rsidRPr="009F08C4">
              <w:rPr>
                <w:rFonts w:ascii="Arial Narrow" w:hAnsi="Arial Narrow" w:cs="Arial"/>
                <w:b/>
                <w:bCs/>
                <w:iCs/>
                <w:color w:val="000000"/>
                <w:sz w:val="22"/>
                <w:szCs w:val="22"/>
                <w:u w:val="single"/>
              </w:rPr>
              <w:t>Identificación del objetivo principal del proyecto que se plantea producir, y de cómo este abordará el problema identificado.</w:t>
            </w:r>
          </w:p>
          <w:p w14:paraId="2F6E3236" w14:textId="1D64B97E" w:rsidR="0042495F" w:rsidRPr="00B96775" w:rsidRDefault="0042495F" w:rsidP="00B36AA9">
            <w:pPr>
              <w:ind w:left="708" w:right="470"/>
              <w:contextualSpacing/>
              <w:jc w:val="both"/>
              <w:rPr>
                <w:rFonts w:ascii="Arial Narrow" w:hAnsi="Arial Narrow" w:cs="Arial"/>
                <w:iCs/>
                <w:color w:val="000000"/>
                <w:sz w:val="22"/>
                <w:szCs w:val="22"/>
              </w:rPr>
            </w:pPr>
          </w:p>
          <w:p w14:paraId="50247565" w14:textId="0871A91D" w:rsidR="00B66C72" w:rsidRDefault="00B66C72" w:rsidP="00B36AA9">
            <w:pPr>
              <w:ind w:left="351"/>
              <w:jc w:val="both"/>
              <w:rPr>
                <w:rFonts w:ascii="Arial Narrow" w:hAnsi="Arial Narrow" w:cs="Segoe UI"/>
                <w:sz w:val="22"/>
                <w:szCs w:val="22"/>
                <w:lang w:val="es-CO" w:eastAsia="es-CO"/>
              </w:rPr>
            </w:pPr>
            <w:bookmarkStart w:id="1" w:name="_Hlk235472332"/>
            <w:r w:rsidRPr="00B66C72">
              <w:rPr>
                <w:rFonts w:ascii="Arial Narrow" w:hAnsi="Arial Narrow" w:cs="Segoe UI"/>
                <w:sz w:val="22"/>
                <w:szCs w:val="22"/>
                <w:lang w:val="es-CO" w:eastAsia="es-CO"/>
              </w:rPr>
              <w:t>El objetivo principal del proyecto normativo es actualizar la Resolución 1326 de 2017 para cerrar las brechas de control, trazabilidad y cobertura identificadas en su implementación, fortaleciendo la efectividad del esquema de Responsabilidad Extendida del Productor (REP) de llantas usadas.</w:t>
            </w:r>
            <w:bookmarkEnd w:id="1"/>
            <w:r w:rsidRPr="00B66C72">
              <w:rPr>
                <w:rFonts w:ascii="Arial Narrow" w:hAnsi="Arial Narrow" w:cs="Segoe UI"/>
                <w:sz w:val="22"/>
                <w:szCs w:val="22"/>
                <w:lang w:val="es-CO" w:eastAsia="es-CO"/>
              </w:rPr>
              <w:t xml:space="preserve"> A continuación se detalla cómo la intervención propuesta aborda cada uno de los problemas identificados en el numeral 1:</w:t>
            </w:r>
          </w:p>
          <w:p w14:paraId="0B716420" w14:textId="77777777" w:rsidR="009F08C4" w:rsidRPr="00B66C72" w:rsidRDefault="009F08C4" w:rsidP="00B36AA9">
            <w:pPr>
              <w:ind w:left="351"/>
              <w:rPr>
                <w:rFonts w:ascii="Arial Narrow" w:hAnsi="Arial Narrow" w:cs="Segoe UI"/>
                <w:sz w:val="22"/>
                <w:szCs w:val="22"/>
                <w:lang w:val="es-CO" w:eastAsia="es-CO"/>
              </w:rPr>
            </w:pPr>
          </w:p>
          <w:p w14:paraId="21B87823" w14:textId="5799FB9F" w:rsidR="00B66C72" w:rsidRPr="00BC7D6E" w:rsidRDefault="00B66C72" w:rsidP="00BC7D6E">
            <w:pPr>
              <w:pStyle w:val="Prrafodelista"/>
              <w:numPr>
                <w:ilvl w:val="0"/>
                <w:numId w:val="21"/>
              </w:numPr>
              <w:spacing w:after="0"/>
              <w:rPr>
                <w:rFonts w:ascii="Arial Narrow" w:hAnsi="Arial Narrow" w:cs="Segoe UI"/>
                <w:b/>
                <w:bCs/>
                <w:sz w:val="22"/>
                <w:szCs w:val="22"/>
                <w:lang w:val="es-CO" w:eastAsia="es-CO"/>
              </w:rPr>
            </w:pPr>
            <w:r w:rsidRPr="00BC7D6E">
              <w:rPr>
                <w:rFonts w:ascii="Arial Narrow" w:hAnsi="Arial Narrow" w:cs="Segoe UI"/>
                <w:b/>
                <w:bCs/>
                <w:sz w:val="22"/>
                <w:szCs w:val="22"/>
                <w:lang w:val="es-CO" w:eastAsia="es-CO"/>
              </w:rPr>
              <w:t>Frente a</w:t>
            </w:r>
            <w:r w:rsidR="00BC7D6E" w:rsidRPr="00BC7D6E">
              <w:rPr>
                <w:rFonts w:ascii="Arial Narrow" w:hAnsi="Arial Narrow" w:cs="Segoe UI"/>
                <w:b/>
                <w:bCs/>
                <w:sz w:val="22"/>
                <w:szCs w:val="22"/>
                <w:lang w:val="es-CO" w:eastAsia="es-CO"/>
              </w:rPr>
              <w:t>l riesgo de exclusión de llantas del ámbito de aplicación de la Resolución 1326 de 2017</w:t>
            </w:r>
          </w:p>
          <w:p w14:paraId="1AB2FE18" w14:textId="289A48C5" w:rsidR="009F08C4" w:rsidRPr="001D6152" w:rsidRDefault="001D6152" w:rsidP="001D6152">
            <w:pPr>
              <w:ind w:left="351"/>
              <w:jc w:val="both"/>
              <w:rPr>
                <w:rFonts w:ascii="Arial Narrow" w:hAnsi="Arial Narrow" w:cs="Segoe UI"/>
                <w:sz w:val="22"/>
                <w:szCs w:val="22"/>
                <w:lang w:eastAsia="es-CO"/>
              </w:rPr>
            </w:pPr>
            <w:r w:rsidRPr="001D6152">
              <w:rPr>
                <w:rFonts w:ascii="Arial Narrow" w:hAnsi="Arial Narrow" w:cs="Segoe UI"/>
                <w:sz w:val="22"/>
                <w:szCs w:val="22"/>
                <w:lang w:val="es-CO" w:eastAsia="es-CO"/>
              </w:rPr>
              <w:t>Se actualizará y precisará la relación de las partidas y subpartidas arancelarias asociadas a las llantas y neumáticos, sus partes y los vehículos correspondientes, de manera que exista una adecuada correspondencia entre el ámbito de aplicación de la regulación y la nomenclatura arancelaria utilizada para la importación de estos productos al país. Con ello, se fortalecerá la identificación y contabilización de las llantas sujetas a las obligaciones de la Resolución 1326 de 2017 y se garantizará que las llantas importadas que se encuentren dentro del ámbito de aplicación de la norma sean consideradas para efectos del cálculo de las líneas base y del cumplimiento de las metas de recolección selectiva y gestión ambiental.</w:t>
            </w:r>
          </w:p>
          <w:p w14:paraId="6EE9E5AD" w14:textId="77777777" w:rsidR="001D6152" w:rsidRDefault="001D6152" w:rsidP="00B36AA9">
            <w:pPr>
              <w:ind w:left="351"/>
              <w:rPr>
                <w:rFonts w:ascii="Arial Narrow" w:hAnsi="Arial Narrow" w:cs="Segoe UI"/>
                <w:b/>
                <w:bCs/>
                <w:sz w:val="22"/>
                <w:szCs w:val="22"/>
                <w:lang w:val="es-CO" w:eastAsia="es-CO"/>
              </w:rPr>
            </w:pPr>
          </w:p>
          <w:p w14:paraId="5106BC87" w14:textId="5318866D" w:rsidR="00B66C72" w:rsidRPr="00880112" w:rsidRDefault="00B66C72" w:rsidP="00880112">
            <w:pPr>
              <w:pStyle w:val="Prrafodelista"/>
              <w:numPr>
                <w:ilvl w:val="0"/>
                <w:numId w:val="21"/>
              </w:numPr>
              <w:rPr>
                <w:rFonts w:ascii="Arial Narrow" w:hAnsi="Arial Narrow" w:cs="Segoe UI"/>
                <w:b/>
                <w:bCs/>
                <w:sz w:val="22"/>
                <w:szCs w:val="22"/>
                <w:lang w:val="es-CO" w:eastAsia="es-CO"/>
              </w:rPr>
            </w:pPr>
            <w:r w:rsidRPr="00880112">
              <w:rPr>
                <w:rFonts w:ascii="Arial Narrow" w:hAnsi="Arial Narrow" w:cs="Segoe UI"/>
                <w:b/>
                <w:bCs/>
                <w:sz w:val="22"/>
                <w:szCs w:val="22"/>
                <w:lang w:val="es-CO" w:eastAsia="es-CO"/>
              </w:rPr>
              <w:t>Frente a la deficiencia en la trazabilidad de los certificados de gestión ambiental</w:t>
            </w:r>
          </w:p>
          <w:p w14:paraId="423F89FA" w14:textId="72975B0A" w:rsidR="009F08C4" w:rsidRPr="001D6152" w:rsidRDefault="001D6152" w:rsidP="005868FC">
            <w:pPr>
              <w:ind w:left="351"/>
              <w:jc w:val="both"/>
              <w:rPr>
                <w:rFonts w:ascii="Arial Narrow" w:hAnsi="Arial Narrow" w:cs="Segoe UI"/>
                <w:sz w:val="22"/>
                <w:szCs w:val="22"/>
                <w:lang w:eastAsia="es-CO"/>
              </w:rPr>
            </w:pPr>
            <w:r w:rsidRPr="001D6152">
              <w:rPr>
                <w:rFonts w:ascii="Arial Narrow" w:hAnsi="Arial Narrow" w:cs="Segoe UI"/>
                <w:sz w:val="22"/>
                <w:szCs w:val="22"/>
                <w:lang w:val="es-CO" w:eastAsia="es-CO"/>
              </w:rPr>
              <w:t>Se fortalecerá la trazabilidad de las llantas usadas gestionadas por cada uno de los Sistemas mediante la incorporación de un balance de masa obligatorio para los gestores de llantas usadas. Este mecanismo permitirá establecer la relación entre las llantas recibidas para su procesamiento, las cantidades efectivamente procesadas, los subproductos o materiales resultantes y su destino, así como verificar que las cantidades certificadas correspondan a las cantidades realmente gestionadas.</w:t>
            </w:r>
          </w:p>
          <w:p w14:paraId="6448C3D1" w14:textId="77777777" w:rsidR="001D6152" w:rsidRDefault="001D6152" w:rsidP="00B36AA9">
            <w:pPr>
              <w:ind w:left="351"/>
              <w:rPr>
                <w:rFonts w:ascii="Arial Narrow" w:hAnsi="Arial Narrow" w:cs="Segoe UI"/>
                <w:b/>
                <w:bCs/>
                <w:sz w:val="22"/>
                <w:szCs w:val="22"/>
                <w:lang w:val="es-CO" w:eastAsia="es-CO"/>
              </w:rPr>
            </w:pPr>
          </w:p>
          <w:p w14:paraId="3A37F029" w14:textId="6D90871B" w:rsidR="00B66C72" w:rsidRPr="00880112" w:rsidRDefault="00B66C72" w:rsidP="00880112">
            <w:pPr>
              <w:pStyle w:val="Prrafodelista"/>
              <w:numPr>
                <w:ilvl w:val="0"/>
                <w:numId w:val="21"/>
              </w:numPr>
              <w:rPr>
                <w:rFonts w:ascii="Arial Narrow" w:hAnsi="Arial Narrow" w:cs="Segoe UI"/>
                <w:b/>
                <w:bCs/>
                <w:sz w:val="22"/>
                <w:szCs w:val="22"/>
                <w:lang w:val="es-CO" w:eastAsia="es-CO"/>
              </w:rPr>
            </w:pPr>
            <w:r w:rsidRPr="00880112">
              <w:rPr>
                <w:rFonts w:ascii="Arial Narrow" w:hAnsi="Arial Narrow" w:cs="Segoe UI"/>
                <w:b/>
                <w:bCs/>
                <w:sz w:val="22"/>
                <w:szCs w:val="22"/>
                <w:lang w:val="es-CO" w:eastAsia="es-CO"/>
              </w:rPr>
              <w:t>Frente al insuficiente fortalecimiento del reencauche</w:t>
            </w:r>
            <w:r w:rsidR="00880112">
              <w:rPr>
                <w:rFonts w:ascii="Arial Narrow" w:hAnsi="Arial Narrow" w:cs="Segoe UI"/>
                <w:b/>
                <w:bCs/>
                <w:sz w:val="22"/>
                <w:szCs w:val="22"/>
                <w:lang w:val="es-CO" w:eastAsia="es-CO"/>
              </w:rPr>
              <w:t xml:space="preserve"> </w:t>
            </w:r>
            <w:r w:rsidR="00880112" w:rsidRPr="00B96775">
              <w:rPr>
                <w:rStyle w:val="normaltextrun"/>
                <w:rFonts w:ascii="Arial Narrow" w:hAnsi="Arial Narrow" w:cs="Segoe UI"/>
                <w:b/>
                <w:bCs/>
                <w:sz w:val="22"/>
                <w:szCs w:val="22"/>
              </w:rPr>
              <w:t>como estrategia de reutilización</w:t>
            </w:r>
          </w:p>
          <w:p w14:paraId="58840F42" w14:textId="77777777" w:rsidR="00880112" w:rsidRPr="00880112" w:rsidRDefault="00880112" w:rsidP="00880112">
            <w:pPr>
              <w:ind w:left="351"/>
              <w:jc w:val="both"/>
              <w:rPr>
                <w:rFonts w:ascii="Arial Narrow" w:hAnsi="Arial Narrow" w:cs="Segoe UI"/>
                <w:sz w:val="22"/>
                <w:szCs w:val="22"/>
                <w:lang w:val="es-CO" w:eastAsia="es-CO"/>
              </w:rPr>
            </w:pPr>
            <w:r w:rsidRPr="00880112">
              <w:rPr>
                <w:rFonts w:ascii="Arial Narrow" w:hAnsi="Arial Narrow" w:cs="Segoe UI"/>
                <w:sz w:val="22"/>
                <w:szCs w:val="22"/>
                <w:lang w:val="es-CO" w:eastAsia="es-CO"/>
              </w:rPr>
              <w:t>Se establecerá la obligación de promover el reencauche dentro de los mecanismos de comunicación contemplados en la evaluación multicriterio, mediante la cual se califica la implementación de las actividades desarrolladas por los Sistemas. Con ello, se busca que los Sistemas incentiven activamente el reconocimiento del reencauche como una estrategia de reutilización que permite prolongar la vida útil de las llantas y que puede ser considerada antes de someterlas a procesos de reciclaje u otras formas de gestión.</w:t>
            </w:r>
          </w:p>
          <w:p w14:paraId="5D4A3E00" w14:textId="77777777" w:rsidR="00880112" w:rsidRPr="00880112" w:rsidRDefault="00880112" w:rsidP="00880112">
            <w:pPr>
              <w:ind w:left="351"/>
              <w:jc w:val="both"/>
              <w:rPr>
                <w:rFonts w:ascii="Arial Narrow" w:hAnsi="Arial Narrow" w:cs="Segoe UI"/>
                <w:sz w:val="22"/>
                <w:szCs w:val="22"/>
                <w:lang w:val="es-CO" w:eastAsia="es-CO"/>
              </w:rPr>
            </w:pPr>
          </w:p>
          <w:p w14:paraId="0F053AA7" w14:textId="04397CD7" w:rsidR="00B66C72" w:rsidRPr="00880112" w:rsidRDefault="00880112" w:rsidP="00880112">
            <w:pPr>
              <w:ind w:left="351"/>
              <w:jc w:val="both"/>
              <w:rPr>
                <w:rFonts w:ascii="Arial Narrow" w:hAnsi="Arial Narrow" w:cs="Segoe UI"/>
                <w:sz w:val="22"/>
                <w:szCs w:val="22"/>
                <w:lang w:eastAsia="es-CO"/>
              </w:rPr>
            </w:pPr>
            <w:r w:rsidRPr="00880112">
              <w:rPr>
                <w:rFonts w:ascii="Arial Narrow" w:hAnsi="Arial Narrow" w:cs="Segoe UI"/>
                <w:sz w:val="22"/>
                <w:szCs w:val="22"/>
                <w:lang w:val="es-CO" w:eastAsia="es-CO"/>
              </w:rPr>
              <w:t>Adicionalmente, esta medida permitirá fortalecer el conocimiento de los diferentes actores de la cadena sobre las posibilidades de reutilización de las llantas usadas y fomentar una mayor utilización del reencauche como alternativa de gestión, de acuerdo con las condiciones técnicas y de seguridad aplicables a esta actividad.</w:t>
            </w:r>
          </w:p>
          <w:p w14:paraId="63A4E53E" w14:textId="77777777" w:rsidR="00F5442A" w:rsidRPr="00B66C72" w:rsidRDefault="00F5442A" w:rsidP="00B36AA9">
            <w:pPr>
              <w:ind w:left="351"/>
              <w:rPr>
                <w:rFonts w:ascii="Arial Narrow" w:hAnsi="Arial Narrow" w:cs="Segoe UI"/>
                <w:sz w:val="22"/>
                <w:szCs w:val="22"/>
                <w:lang w:val="es-CO" w:eastAsia="es-CO"/>
              </w:rPr>
            </w:pPr>
          </w:p>
          <w:p w14:paraId="56A7BF68" w14:textId="67667FFD" w:rsidR="00B66C72" w:rsidRPr="00003380" w:rsidRDefault="00B66C72" w:rsidP="003A5197">
            <w:pPr>
              <w:pStyle w:val="Prrafodelista"/>
              <w:numPr>
                <w:ilvl w:val="0"/>
                <w:numId w:val="21"/>
              </w:numPr>
              <w:spacing w:after="0"/>
              <w:jc w:val="both"/>
              <w:rPr>
                <w:rFonts w:ascii="Arial Narrow" w:hAnsi="Arial Narrow" w:cs="Segoe UI"/>
                <w:sz w:val="22"/>
                <w:szCs w:val="22"/>
                <w:lang w:val="es-CO" w:eastAsia="es-CO"/>
              </w:rPr>
            </w:pPr>
            <w:r w:rsidRPr="00003380">
              <w:rPr>
                <w:rFonts w:ascii="Arial Narrow" w:hAnsi="Arial Narrow" w:cs="Segoe UI"/>
                <w:b/>
                <w:bCs/>
                <w:sz w:val="22"/>
                <w:szCs w:val="22"/>
                <w:lang w:val="es-CO" w:eastAsia="es-CO"/>
              </w:rPr>
              <w:t xml:space="preserve">Frente al </w:t>
            </w:r>
            <w:r w:rsidR="003A5197">
              <w:rPr>
                <w:rFonts w:ascii="Arial Narrow" w:hAnsi="Arial Narrow" w:cs="Segoe UI"/>
                <w:b/>
                <w:bCs/>
                <w:sz w:val="22"/>
                <w:szCs w:val="22"/>
                <w:lang w:val="es-CO" w:eastAsia="es-CO"/>
              </w:rPr>
              <w:t xml:space="preserve">aumento </w:t>
            </w:r>
            <w:r w:rsidR="00003380" w:rsidRPr="00003380">
              <w:rPr>
                <w:rStyle w:val="normaltextrun"/>
                <w:rFonts w:ascii="Arial Narrow" w:hAnsi="Arial Narrow" w:cs="Segoe UI"/>
                <w:b/>
                <w:bCs/>
                <w:sz w:val="22"/>
                <w:szCs w:val="22"/>
              </w:rPr>
              <w:t xml:space="preserve">significativo de importaciones de llantas de bicicletas, motocicletas, motociclos, ciclomotores o </w:t>
            </w:r>
            <w:proofErr w:type="spellStart"/>
            <w:r w:rsidR="00003380" w:rsidRPr="00003380">
              <w:rPr>
                <w:rStyle w:val="normaltextrun"/>
                <w:rFonts w:ascii="Arial Narrow" w:hAnsi="Arial Narrow" w:cs="Segoe UI"/>
                <w:b/>
                <w:bCs/>
                <w:sz w:val="22"/>
                <w:szCs w:val="22"/>
              </w:rPr>
              <w:t>Moped</w:t>
            </w:r>
            <w:proofErr w:type="spellEnd"/>
            <w:r w:rsidR="00003380" w:rsidRPr="00003380">
              <w:rPr>
                <w:rStyle w:val="normaltextrun"/>
                <w:rFonts w:ascii="Arial Narrow" w:hAnsi="Arial Narrow" w:cs="Segoe UI"/>
                <w:b/>
                <w:bCs/>
                <w:sz w:val="22"/>
                <w:szCs w:val="22"/>
              </w:rPr>
              <w:t xml:space="preserve"> y de vehículos fuera de carretera, frente a las metas de recolección selectiva vigentes</w:t>
            </w:r>
          </w:p>
          <w:p w14:paraId="491AB7C4" w14:textId="77777777" w:rsidR="007A37BF" w:rsidRDefault="007A37BF" w:rsidP="007A37BF">
            <w:pPr>
              <w:ind w:left="351"/>
              <w:jc w:val="both"/>
              <w:rPr>
                <w:rFonts w:ascii="Arial Narrow" w:hAnsi="Arial Narrow" w:cs="Segoe UI"/>
                <w:sz w:val="22"/>
                <w:szCs w:val="22"/>
                <w:lang w:val="es-CO" w:eastAsia="es-CO"/>
              </w:rPr>
            </w:pPr>
          </w:p>
          <w:p w14:paraId="49181EB9" w14:textId="42F4EC51" w:rsidR="007A37BF" w:rsidRPr="007A37BF" w:rsidRDefault="007A37BF" w:rsidP="007A37BF">
            <w:pPr>
              <w:ind w:left="351"/>
              <w:jc w:val="both"/>
              <w:rPr>
                <w:rFonts w:ascii="Arial Narrow" w:hAnsi="Arial Narrow" w:cs="Segoe UI"/>
                <w:sz w:val="22"/>
                <w:szCs w:val="22"/>
                <w:lang w:val="es-CO" w:eastAsia="es-CO"/>
              </w:rPr>
            </w:pPr>
            <w:r w:rsidRPr="007A37BF">
              <w:rPr>
                <w:rFonts w:ascii="Arial Narrow" w:hAnsi="Arial Narrow" w:cs="Segoe UI"/>
                <w:sz w:val="22"/>
                <w:szCs w:val="22"/>
                <w:lang w:val="es-CO" w:eastAsia="es-CO"/>
              </w:rPr>
              <w:t xml:space="preserve">Se ampliarán progresivamente las metas de recolección selectiva y gestión ambiental aplicables a estas categorías, de manera que respondan al crecimiento de las importaciones registrado entre 2017 y 2024 y se equiparen progresivamente a las metas establecidas para la categoría de automóviles, camiones, camionetas, buses, busetas y tractomulas, cuyo porcentaje máximo de recolección y gestión ambiental será de 85 %. </w:t>
            </w:r>
          </w:p>
          <w:p w14:paraId="3D5F6F02" w14:textId="77777777" w:rsidR="007A37BF" w:rsidRPr="007A37BF" w:rsidRDefault="007A37BF" w:rsidP="007A37BF">
            <w:pPr>
              <w:ind w:left="351"/>
              <w:jc w:val="both"/>
              <w:rPr>
                <w:rFonts w:ascii="Arial Narrow" w:hAnsi="Arial Narrow" w:cs="Segoe UI"/>
                <w:sz w:val="22"/>
                <w:szCs w:val="22"/>
                <w:lang w:val="es-CO" w:eastAsia="es-CO"/>
              </w:rPr>
            </w:pPr>
          </w:p>
          <w:p w14:paraId="6F3132EF" w14:textId="37D8B07C" w:rsidR="00F5442A" w:rsidRDefault="007A37BF" w:rsidP="007A37BF">
            <w:pPr>
              <w:ind w:left="351"/>
              <w:jc w:val="both"/>
              <w:rPr>
                <w:rFonts w:ascii="Arial Narrow" w:hAnsi="Arial Narrow" w:cs="Segoe UI"/>
                <w:sz w:val="22"/>
                <w:szCs w:val="22"/>
                <w:lang w:val="es-CO" w:eastAsia="es-CO"/>
              </w:rPr>
            </w:pPr>
            <w:r w:rsidRPr="007A37BF">
              <w:rPr>
                <w:rFonts w:ascii="Arial Narrow" w:hAnsi="Arial Narrow" w:cs="Segoe UI"/>
                <w:sz w:val="22"/>
                <w:szCs w:val="22"/>
                <w:lang w:val="es-CO" w:eastAsia="es-CO"/>
              </w:rPr>
              <w:t xml:space="preserve">Lo anterior permitirá evitar que, ante el aumento de las cantidades de llantas introducidas al mercado y que el porcentaje máximo es del 65 % a partir de 2028, se genere un incremento significativo de llantas usadas sin una gestión ambiental adecuada, con el </w:t>
            </w:r>
            <w:r w:rsidRPr="007A37BF">
              <w:rPr>
                <w:rFonts w:ascii="Arial Narrow" w:hAnsi="Arial Narrow" w:cs="Segoe UI"/>
                <w:sz w:val="22"/>
                <w:szCs w:val="22"/>
                <w:lang w:val="es-CO" w:eastAsia="es-CO"/>
              </w:rPr>
              <w:lastRenderedPageBreak/>
              <w:t>consecuente riesgo de que sean objeto de prácticas de manejo inadecuadas o de disposición no autorizada que puedan generar impactos negativos sobre el ambiente.</w:t>
            </w:r>
          </w:p>
          <w:p w14:paraId="0EF74869" w14:textId="77777777" w:rsidR="005868FC" w:rsidRPr="007A37BF" w:rsidRDefault="005868FC" w:rsidP="007A37BF">
            <w:pPr>
              <w:ind w:left="351"/>
              <w:jc w:val="both"/>
              <w:rPr>
                <w:rFonts w:ascii="Arial Narrow" w:hAnsi="Arial Narrow" w:cs="Segoe UI"/>
                <w:sz w:val="22"/>
                <w:szCs w:val="22"/>
                <w:lang w:eastAsia="es-CO"/>
              </w:rPr>
            </w:pPr>
          </w:p>
          <w:p w14:paraId="4585B5DF" w14:textId="77777777" w:rsidR="007A37BF" w:rsidRPr="00B96775" w:rsidRDefault="00B66C72" w:rsidP="007A37BF">
            <w:pPr>
              <w:pStyle w:val="paragraph"/>
              <w:numPr>
                <w:ilvl w:val="0"/>
                <w:numId w:val="21"/>
              </w:numPr>
              <w:spacing w:before="0" w:beforeAutospacing="0" w:after="0" w:afterAutospacing="0"/>
              <w:jc w:val="both"/>
              <w:textAlignment w:val="baseline"/>
              <w:rPr>
                <w:rFonts w:ascii="Arial Narrow" w:hAnsi="Arial Narrow" w:cs="Segoe UI"/>
                <w:sz w:val="22"/>
                <w:szCs w:val="22"/>
              </w:rPr>
            </w:pPr>
            <w:r w:rsidRPr="00B66C72">
              <w:rPr>
                <w:rFonts w:ascii="Arial Narrow" w:hAnsi="Arial Narrow" w:cs="Segoe UI"/>
                <w:b/>
                <w:bCs/>
                <w:sz w:val="22"/>
                <w:szCs w:val="22"/>
              </w:rPr>
              <w:t xml:space="preserve">Frente a la </w:t>
            </w:r>
            <w:r w:rsidR="007A37BF" w:rsidRPr="00B96775">
              <w:rPr>
                <w:rStyle w:val="normaltextrun"/>
                <w:rFonts w:ascii="Arial Narrow" w:hAnsi="Arial Narrow" w:cs="Segoe UI"/>
                <w:b/>
                <w:bCs/>
                <w:sz w:val="22"/>
                <w:szCs w:val="22"/>
              </w:rPr>
              <w:t xml:space="preserve">Concentración de la gestión de llantas usadas en los grandes centros urbanos, en detrimento </w:t>
            </w:r>
            <w:r w:rsidR="007A37BF">
              <w:rPr>
                <w:rStyle w:val="normaltextrun"/>
                <w:rFonts w:ascii="Arial Narrow" w:hAnsi="Arial Narrow" w:cs="Segoe UI"/>
                <w:b/>
                <w:bCs/>
                <w:sz w:val="22"/>
                <w:szCs w:val="22"/>
              </w:rPr>
              <w:t>a la cobertura en</w:t>
            </w:r>
            <w:r w:rsidR="007A37BF" w:rsidRPr="00B96775">
              <w:rPr>
                <w:rStyle w:val="normaltextrun"/>
                <w:rFonts w:ascii="Arial Narrow" w:hAnsi="Arial Narrow" w:cs="Segoe UI"/>
                <w:b/>
                <w:bCs/>
                <w:sz w:val="22"/>
                <w:szCs w:val="22"/>
              </w:rPr>
              <w:t xml:space="preserve"> municipios intermedios y apartados</w:t>
            </w:r>
          </w:p>
          <w:p w14:paraId="7A886D24" w14:textId="77777777" w:rsidR="003A5197" w:rsidRDefault="003A5197" w:rsidP="0004226B">
            <w:pPr>
              <w:ind w:left="351"/>
              <w:jc w:val="both"/>
              <w:rPr>
                <w:rFonts w:ascii="Arial Narrow" w:hAnsi="Arial Narrow" w:cs="Segoe UI"/>
                <w:sz w:val="22"/>
                <w:szCs w:val="22"/>
                <w:lang w:val="es-CO" w:eastAsia="es-CO"/>
              </w:rPr>
            </w:pPr>
          </w:p>
          <w:p w14:paraId="1239250A" w14:textId="6042B78C" w:rsidR="001D7A84" w:rsidRPr="001D7A84" w:rsidRDefault="001D7A84" w:rsidP="0004226B">
            <w:pPr>
              <w:ind w:left="351"/>
              <w:jc w:val="both"/>
              <w:rPr>
                <w:rFonts w:ascii="Arial Narrow" w:hAnsi="Arial Narrow" w:cs="Segoe UI"/>
                <w:sz w:val="22"/>
                <w:szCs w:val="22"/>
                <w:lang w:val="es-CO" w:eastAsia="es-CO"/>
              </w:rPr>
            </w:pPr>
            <w:r w:rsidRPr="001D7A84">
              <w:rPr>
                <w:rFonts w:ascii="Arial Narrow" w:hAnsi="Arial Narrow" w:cs="Segoe UI"/>
                <w:sz w:val="22"/>
                <w:szCs w:val="22"/>
                <w:lang w:val="es-CO" w:eastAsia="es-CO"/>
              </w:rPr>
              <w:t>Se ajustará la metodología multicriterio de evaluación de cumplimiento con el fin de promover una mayor cobertura territorial de la recolección y gestión de llantas usadas. Para ello, se establecerá que la asignación del puntaje correspondiente a la cobertura de las principales ciudades y territorios priorizados estará condicionada a que los Sistemas cubran la totalidad de estos territorios, incluido el Archipiélago de San Andrés, Providencia y Santa Catalina. En consecuencia, los Sistemas que no cuenten con mecanismos de recolección en el Archipiélago no podrán acceder al puntaje previsto para este criterio.</w:t>
            </w:r>
          </w:p>
          <w:p w14:paraId="354EB5B8" w14:textId="77777777" w:rsidR="001D7A84" w:rsidRPr="001D7A84" w:rsidRDefault="001D7A84" w:rsidP="001D7A84">
            <w:pPr>
              <w:ind w:left="351"/>
              <w:rPr>
                <w:rFonts w:ascii="Arial Narrow" w:hAnsi="Arial Narrow" w:cs="Segoe UI"/>
                <w:sz w:val="22"/>
                <w:szCs w:val="22"/>
                <w:lang w:val="es-CO" w:eastAsia="es-CO"/>
              </w:rPr>
            </w:pPr>
          </w:p>
          <w:p w14:paraId="5AD57C84" w14:textId="279E1974" w:rsidR="00F5442A" w:rsidRPr="00B66C72" w:rsidRDefault="001D7A84" w:rsidP="0004226B">
            <w:pPr>
              <w:ind w:left="351"/>
              <w:jc w:val="both"/>
              <w:rPr>
                <w:rFonts w:ascii="Arial Narrow" w:hAnsi="Arial Narrow" w:cs="Segoe UI"/>
                <w:sz w:val="22"/>
                <w:szCs w:val="22"/>
                <w:lang w:val="es-CO" w:eastAsia="es-CO"/>
              </w:rPr>
            </w:pPr>
            <w:r w:rsidRPr="001D7A84">
              <w:rPr>
                <w:rFonts w:ascii="Arial Narrow" w:hAnsi="Arial Narrow" w:cs="Segoe UI"/>
                <w:sz w:val="22"/>
                <w:szCs w:val="22"/>
                <w:lang w:val="es-CO" w:eastAsia="es-CO"/>
              </w:rPr>
              <w:t>Adicionalmente, se incluirá a Villavicencio como municipio prioritario para la recolección y gestión de llantas usadas y se incorporará como alternativa puntuable la implementación de mecanismos de recolección equivalentes en municipios de categoría 2, distintos del punto fijo, con el fin de reducir las barreras de costo que actualmente pueden desincentivar la cobertura en municipios intermedios y apartados</w:t>
            </w:r>
          </w:p>
          <w:p w14:paraId="3C4601E0" w14:textId="029C8E63" w:rsidR="00F5442A" w:rsidRDefault="00F5442A" w:rsidP="003A5197">
            <w:pPr>
              <w:jc w:val="both"/>
              <w:rPr>
                <w:rFonts w:ascii="Arial Narrow" w:hAnsi="Arial Narrow" w:cs="Segoe UI"/>
                <w:sz w:val="22"/>
                <w:szCs w:val="22"/>
                <w:lang w:val="es-CO" w:eastAsia="es-CO"/>
              </w:rPr>
            </w:pPr>
          </w:p>
          <w:p w14:paraId="1D5B8D8E" w14:textId="10D4C500" w:rsidR="00BE4D7C" w:rsidRPr="00BE4D7C" w:rsidRDefault="00BE4D7C" w:rsidP="00BE4D7C">
            <w:pPr>
              <w:pStyle w:val="paragraph"/>
              <w:numPr>
                <w:ilvl w:val="0"/>
                <w:numId w:val="21"/>
              </w:numPr>
              <w:spacing w:before="0" w:beforeAutospacing="0" w:after="0" w:afterAutospacing="0"/>
              <w:jc w:val="both"/>
              <w:textAlignment w:val="baseline"/>
              <w:rPr>
                <w:rFonts w:ascii="Arial Narrow" w:hAnsi="Arial Narrow"/>
                <w:b/>
                <w:bCs/>
                <w:sz w:val="22"/>
                <w:szCs w:val="22"/>
              </w:rPr>
            </w:pPr>
            <w:r w:rsidRPr="00BE4D7C">
              <w:rPr>
                <w:rFonts w:ascii="Arial Narrow" w:hAnsi="Arial Narrow"/>
                <w:b/>
                <w:bCs/>
                <w:sz w:val="22"/>
                <w:szCs w:val="22"/>
              </w:rPr>
              <w:t>Frente a la necesidad de incluir una meta de recolección y gestión ambiental en función del peso de las llantas producidas o importadas</w:t>
            </w:r>
          </w:p>
          <w:p w14:paraId="6D57D685" w14:textId="77777777" w:rsidR="003A5197" w:rsidRDefault="003A5197" w:rsidP="00FB0F67">
            <w:pPr>
              <w:ind w:left="351"/>
              <w:jc w:val="both"/>
              <w:rPr>
                <w:rFonts w:ascii="Arial Narrow" w:hAnsi="Arial Narrow" w:cs="Segoe UI"/>
                <w:sz w:val="22"/>
                <w:szCs w:val="22"/>
                <w:lang w:val="es-CO" w:eastAsia="es-CO"/>
              </w:rPr>
            </w:pPr>
          </w:p>
          <w:p w14:paraId="337BDD30" w14:textId="3F7D857C" w:rsidR="00FB0F67" w:rsidRPr="00FB0F67" w:rsidRDefault="00FB0F67" w:rsidP="00FB0F67">
            <w:pPr>
              <w:ind w:left="351"/>
              <w:jc w:val="both"/>
              <w:rPr>
                <w:rFonts w:ascii="Arial Narrow" w:hAnsi="Arial Narrow" w:cs="Segoe UI"/>
                <w:sz w:val="22"/>
                <w:szCs w:val="22"/>
                <w:lang w:val="es-CO" w:eastAsia="es-CO"/>
              </w:rPr>
            </w:pPr>
            <w:r w:rsidRPr="00FB0F67">
              <w:rPr>
                <w:rFonts w:ascii="Arial Narrow" w:hAnsi="Arial Narrow" w:cs="Segoe UI"/>
                <w:sz w:val="22"/>
                <w:szCs w:val="22"/>
                <w:lang w:val="es-CO" w:eastAsia="es-CO"/>
              </w:rPr>
              <w:t xml:space="preserve">Se incorpora </w:t>
            </w:r>
            <w:r w:rsidR="003A5197">
              <w:rPr>
                <w:rFonts w:ascii="Arial Narrow" w:hAnsi="Arial Narrow" w:cs="Segoe UI"/>
                <w:sz w:val="22"/>
                <w:szCs w:val="22"/>
                <w:lang w:val="es-CO" w:eastAsia="es-CO"/>
              </w:rPr>
              <w:t xml:space="preserve">a la responsabilidad extendida del productor REP, una nueva meta de recolección </w:t>
            </w:r>
            <w:r w:rsidRPr="00FB0F67">
              <w:rPr>
                <w:rFonts w:ascii="Arial Narrow" w:hAnsi="Arial Narrow" w:cs="Segoe UI"/>
                <w:sz w:val="22"/>
                <w:szCs w:val="22"/>
                <w:lang w:val="es-CO" w:eastAsia="es-CO"/>
              </w:rPr>
              <w:t xml:space="preserve">y gestión ambiental expresada en función del peso de las llantas producidas o importadas. Para determinar esta meta se tuvo en cuenta la pérdida de masa que experimentan las llantas durante su vida útil. En este sentido, se consideró que el desgaste se produce principalmente en la banda de rodadura y que, para efectos del cálculo, debe tenerse en cuenta la diferencia entre la profundidad de la banda de rodadura de una llanta nueva y la profundidad mínima permitida para su uso. </w:t>
            </w:r>
          </w:p>
          <w:p w14:paraId="31E13F26" w14:textId="77777777" w:rsidR="00FB0F67" w:rsidRPr="00FB0F67" w:rsidRDefault="00FB0F67" w:rsidP="00FB0F67">
            <w:pPr>
              <w:ind w:left="351"/>
              <w:jc w:val="both"/>
              <w:rPr>
                <w:rFonts w:ascii="Arial Narrow" w:hAnsi="Arial Narrow" w:cs="Segoe UI"/>
                <w:sz w:val="22"/>
                <w:szCs w:val="22"/>
                <w:lang w:val="es-CO" w:eastAsia="es-CO"/>
              </w:rPr>
            </w:pPr>
          </w:p>
          <w:p w14:paraId="29405DF0" w14:textId="77777777" w:rsidR="00FB0F67" w:rsidRPr="00FB0F67" w:rsidRDefault="00FB0F67" w:rsidP="00FB0F67">
            <w:pPr>
              <w:ind w:left="351"/>
              <w:jc w:val="both"/>
              <w:rPr>
                <w:rFonts w:ascii="Arial Narrow" w:hAnsi="Arial Narrow" w:cs="Segoe UI"/>
                <w:sz w:val="22"/>
                <w:szCs w:val="22"/>
                <w:lang w:val="es-CO" w:eastAsia="es-CO"/>
              </w:rPr>
            </w:pPr>
            <w:r w:rsidRPr="00FB0F67">
              <w:rPr>
                <w:rFonts w:ascii="Arial Narrow" w:hAnsi="Arial Narrow" w:cs="Segoe UI"/>
                <w:sz w:val="22"/>
                <w:szCs w:val="22"/>
                <w:lang w:val="es-CO" w:eastAsia="es-CO"/>
              </w:rPr>
              <w:t xml:space="preserve">De acuerdo con la información técnica revisada, los neumáticos nuevos presentan una profundidad de dibujo aproximada de entre 6 y 9 mm, mientras que una profundidad inferior a 1,6 mm se encuentra por debajo del límite mínimo de seguridad utilizado como referencia (Sensor Automotriz, s. f.). En consecuencia, tomando como referencia una profundidad inicial promedio de 8 mm, la profundidad potencialmente </w:t>
            </w:r>
            <w:proofErr w:type="spellStart"/>
            <w:r w:rsidRPr="00FB0F67">
              <w:rPr>
                <w:rFonts w:ascii="Arial Narrow" w:hAnsi="Arial Narrow" w:cs="Segoe UI"/>
                <w:sz w:val="22"/>
                <w:szCs w:val="22"/>
                <w:lang w:val="es-CO" w:eastAsia="es-CO"/>
              </w:rPr>
              <w:t>desgastable</w:t>
            </w:r>
            <w:proofErr w:type="spellEnd"/>
            <w:r w:rsidRPr="00FB0F67">
              <w:rPr>
                <w:rFonts w:ascii="Arial Narrow" w:hAnsi="Arial Narrow" w:cs="Segoe UI"/>
                <w:sz w:val="22"/>
                <w:szCs w:val="22"/>
                <w:lang w:val="es-CO" w:eastAsia="es-CO"/>
              </w:rPr>
              <w:t xml:space="preserve"> sería de aproximadamente 6,4 </w:t>
            </w:r>
            <w:proofErr w:type="spellStart"/>
            <w:r w:rsidRPr="00FB0F67">
              <w:rPr>
                <w:rFonts w:ascii="Arial Narrow" w:hAnsi="Arial Narrow" w:cs="Segoe UI"/>
                <w:sz w:val="22"/>
                <w:szCs w:val="22"/>
                <w:lang w:val="es-CO" w:eastAsia="es-CO"/>
              </w:rPr>
              <w:t>mm.</w:t>
            </w:r>
            <w:proofErr w:type="spellEnd"/>
          </w:p>
          <w:p w14:paraId="25607E74" w14:textId="77777777" w:rsidR="00FB0F67" w:rsidRPr="00FB0F67" w:rsidRDefault="00FB0F67" w:rsidP="00FB0F67">
            <w:pPr>
              <w:ind w:left="351"/>
              <w:jc w:val="both"/>
              <w:rPr>
                <w:rFonts w:ascii="Arial Narrow" w:hAnsi="Arial Narrow" w:cs="Segoe UI"/>
                <w:sz w:val="22"/>
                <w:szCs w:val="22"/>
                <w:lang w:val="es-CO" w:eastAsia="es-CO"/>
              </w:rPr>
            </w:pPr>
          </w:p>
          <w:p w14:paraId="01DFFFD0" w14:textId="77777777" w:rsidR="00FB0F67" w:rsidRPr="00FB0F67" w:rsidRDefault="00FB0F67" w:rsidP="00FB0F67">
            <w:pPr>
              <w:ind w:left="351"/>
              <w:jc w:val="both"/>
              <w:rPr>
                <w:rFonts w:ascii="Arial Narrow" w:hAnsi="Arial Narrow" w:cs="Segoe UI"/>
                <w:sz w:val="22"/>
                <w:szCs w:val="22"/>
                <w:lang w:val="es-CO" w:eastAsia="es-CO"/>
              </w:rPr>
            </w:pPr>
            <w:r w:rsidRPr="00FB0F67">
              <w:rPr>
                <w:rFonts w:ascii="Arial Narrow" w:hAnsi="Arial Narrow" w:cs="Segoe UI"/>
                <w:sz w:val="22"/>
                <w:szCs w:val="22"/>
                <w:lang w:val="es-CO" w:eastAsia="es-CO"/>
              </w:rPr>
              <w:t xml:space="preserve">De acuerdo con </w:t>
            </w:r>
            <w:proofErr w:type="spellStart"/>
            <w:r w:rsidRPr="00FB0F67">
              <w:rPr>
                <w:rFonts w:ascii="Arial Narrow" w:hAnsi="Arial Narrow" w:cs="Segoe UI"/>
                <w:sz w:val="22"/>
                <w:szCs w:val="22"/>
                <w:lang w:val="es-CO" w:eastAsia="es-CO"/>
              </w:rPr>
              <w:t>Giechaskiel</w:t>
            </w:r>
            <w:proofErr w:type="spellEnd"/>
            <w:r w:rsidRPr="00FB0F67">
              <w:rPr>
                <w:rFonts w:ascii="Arial Narrow" w:hAnsi="Arial Narrow" w:cs="Segoe UI"/>
                <w:sz w:val="22"/>
                <w:szCs w:val="22"/>
                <w:lang w:val="es-CO" w:eastAsia="es-CO"/>
              </w:rPr>
              <w:t xml:space="preserve">, Ferrarese y </w:t>
            </w:r>
            <w:proofErr w:type="spellStart"/>
            <w:r w:rsidRPr="00FB0F67">
              <w:rPr>
                <w:rFonts w:ascii="Arial Narrow" w:hAnsi="Arial Narrow" w:cs="Segoe UI"/>
                <w:sz w:val="22"/>
                <w:szCs w:val="22"/>
                <w:lang w:val="es-CO" w:eastAsia="es-CO"/>
              </w:rPr>
              <w:t>Grigoratos</w:t>
            </w:r>
            <w:proofErr w:type="spellEnd"/>
            <w:r w:rsidRPr="00FB0F67">
              <w:rPr>
                <w:rFonts w:ascii="Arial Narrow" w:hAnsi="Arial Narrow" w:cs="Segoe UI"/>
                <w:sz w:val="22"/>
                <w:szCs w:val="22"/>
                <w:lang w:val="es-CO" w:eastAsia="es-CO"/>
              </w:rPr>
              <w:t xml:space="preserve"> (2025), la pérdida de masa de las llantas puede estimarse en aproximadamente 250 gramos por cada milímetro de reducción de la profundidad de la banda de rodadura, aunque este valor puede variar según el tamaño y las características de la llanta. Bajo esta referencia, una llanta de automóvil con un peso aproximado de 8 kg y una profundidad de desgaste utilizable de 6,4 mm podría perder aproximadamente 1,6 kg durante su vida útil, lo que representa cerca del 20 % de su peso inicial (</w:t>
            </w:r>
            <w:proofErr w:type="spellStart"/>
            <w:r w:rsidRPr="00FB0F67">
              <w:rPr>
                <w:rFonts w:ascii="Arial Narrow" w:hAnsi="Arial Narrow" w:cs="Segoe UI"/>
                <w:sz w:val="22"/>
                <w:szCs w:val="22"/>
                <w:lang w:val="es-CO" w:eastAsia="es-CO"/>
              </w:rPr>
              <w:t>Giechaskiel</w:t>
            </w:r>
            <w:proofErr w:type="spellEnd"/>
            <w:r w:rsidRPr="00FB0F67">
              <w:rPr>
                <w:rFonts w:ascii="Arial Narrow" w:hAnsi="Arial Narrow" w:cs="Segoe UI"/>
                <w:sz w:val="22"/>
                <w:szCs w:val="22"/>
                <w:lang w:val="es-CO" w:eastAsia="es-CO"/>
              </w:rPr>
              <w:t xml:space="preserve">, Ferrarese y </w:t>
            </w:r>
            <w:proofErr w:type="spellStart"/>
            <w:r w:rsidRPr="00FB0F67">
              <w:rPr>
                <w:rFonts w:ascii="Arial Narrow" w:hAnsi="Arial Narrow" w:cs="Segoe UI"/>
                <w:sz w:val="22"/>
                <w:szCs w:val="22"/>
                <w:lang w:val="es-CO" w:eastAsia="es-CO"/>
              </w:rPr>
              <w:t>Grigoratos</w:t>
            </w:r>
            <w:proofErr w:type="spellEnd"/>
            <w:r w:rsidRPr="00FB0F67">
              <w:rPr>
                <w:rFonts w:ascii="Arial Narrow" w:hAnsi="Arial Narrow" w:cs="Segoe UI"/>
                <w:sz w:val="22"/>
                <w:szCs w:val="22"/>
                <w:lang w:val="es-CO" w:eastAsia="es-CO"/>
              </w:rPr>
              <w:t>, 2025).</w:t>
            </w:r>
          </w:p>
          <w:p w14:paraId="09656F9C" w14:textId="77777777" w:rsidR="00FB0F67" w:rsidRPr="00FB0F67" w:rsidRDefault="00FB0F67" w:rsidP="00FB0F67">
            <w:pPr>
              <w:ind w:left="351"/>
              <w:jc w:val="both"/>
              <w:rPr>
                <w:rFonts w:ascii="Arial Narrow" w:hAnsi="Arial Narrow" w:cs="Segoe UI"/>
                <w:sz w:val="22"/>
                <w:szCs w:val="22"/>
                <w:lang w:val="es-CO" w:eastAsia="es-CO"/>
              </w:rPr>
            </w:pPr>
          </w:p>
          <w:p w14:paraId="13776B20" w14:textId="77777777" w:rsidR="00FB0F67" w:rsidRPr="00FB0F67" w:rsidRDefault="00FB0F67" w:rsidP="00FB0F67">
            <w:pPr>
              <w:ind w:left="351"/>
              <w:jc w:val="both"/>
              <w:rPr>
                <w:rFonts w:ascii="Arial Narrow" w:hAnsi="Arial Narrow" w:cs="Segoe UI"/>
                <w:sz w:val="22"/>
                <w:szCs w:val="22"/>
                <w:lang w:val="es-CO" w:eastAsia="es-CO"/>
              </w:rPr>
            </w:pPr>
            <w:r w:rsidRPr="00FB0F67">
              <w:rPr>
                <w:rFonts w:ascii="Arial Narrow" w:hAnsi="Arial Narrow" w:cs="Segoe UI"/>
                <w:sz w:val="22"/>
                <w:szCs w:val="22"/>
                <w:lang w:val="es-CO" w:eastAsia="es-CO"/>
              </w:rPr>
              <w:t xml:space="preserve">La pérdida de peso, sin embargo, no es uniforme para todas las categorías de llantas. La información técnica revisada muestra que las llantas de motocicleta pueden presentar pérdidas estimadas de aproximadamente entre el 4 % y el 10 % de su peso, mientras que en las llantas de bicicleta la pérdida puede ser inferior, dependiendo de sus características y condiciones de uso. Por su parte, las llantas de vehículos fuera de carretera, debido a la mayor profundidad de sus bandas de rodadura, pueden presentar porcentajes superiores. En el caso de las llantas de camionetas, camiones y vehículos pesados, correspondientes a tamaños entre rin 15 y 22,5 pulgadas, la pérdida porcentual tiende a ser menor debido a la mayor proporción de material estructural que compone su carcasa, con estimaciones que oscilan aproximadamente entre el 10 % y el 20 % del peso total (McCarthy Tire </w:t>
            </w:r>
            <w:proofErr w:type="spellStart"/>
            <w:r w:rsidRPr="00FB0F67">
              <w:rPr>
                <w:rFonts w:ascii="Arial Narrow" w:hAnsi="Arial Narrow" w:cs="Segoe UI"/>
                <w:sz w:val="22"/>
                <w:szCs w:val="22"/>
                <w:lang w:val="es-CO" w:eastAsia="es-CO"/>
              </w:rPr>
              <w:t>Service</w:t>
            </w:r>
            <w:proofErr w:type="spellEnd"/>
            <w:r w:rsidRPr="00FB0F67">
              <w:rPr>
                <w:rFonts w:ascii="Arial Narrow" w:hAnsi="Arial Narrow" w:cs="Segoe UI"/>
                <w:sz w:val="22"/>
                <w:szCs w:val="22"/>
                <w:lang w:val="es-CO" w:eastAsia="es-CO"/>
              </w:rPr>
              <w:t xml:space="preserve">, s. f.; </w:t>
            </w:r>
            <w:proofErr w:type="spellStart"/>
            <w:r w:rsidRPr="00FB0F67">
              <w:rPr>
                <w:rFonts w:ascii="Arial Narrow" w:hAnsi="Arial Narrow" w:cs="Segoe UI"/>
                <w:sz w:val="22"/>
                <w:szCs w:val="22"/>
                <w:lang w:val="es-CO" w:eastAsia="es-CO"/>
              </w:rPr>
              <w:t>Hubtrac</w:t>
            </w:r>
            <w:proofErr w:type="spellEnd"/>
            <w:r w:rsidRPr="00FB0F67">
              <w:rPr>
                <w:rFonts w:ascii="Arial Narrow" w:hAnsi="Arial Narrow" w:cs="Segoe UI"/>
                <w:sz w:val="22"/>
                <w:szCs w:val="22"/>
                <w:lang w:val="es-CO" w:eastAsia="es-CO"/>
              </w:rPr>
              <w:t xml:space="preserve"> </w:t>
            </w:r>
            <w:proofErr w:type="spellStart"/>
            <w:r w:rsidRPr="00FB0F67">
              <w:rPr>
                <w:rFonts w:ascii="Arial Narrow" w:hAnsi="Arial Narrow" w:cs="Segoe UI"/>
                <w:sz w:val="22"/>
                <w:szCs w:val="22"/>
                <w:lang w:val="es-CO" w:eastAsia="es-CO"/>
              </w:rPr>
              <w:t>Reifen</w:t>
            </w:r>
            <w:proofErr w:type="spellEnd"/>
            <w:r w:rsidRPr="00FB0F67">
              <w:rPr>
                <w:rFonts w:ascii="Arial Narrow" w:hAnsi="Arial Narrow" w:cs="Segoe UI"/>
                <w:sz w:val="22"/>
                <w:szCs w:val="22"/>
                <w:lang w:val="es-CO" w:eastAsia="es-CO"/>
              </w:rPr>
              <w:t>, 2025).</w:t>
            </w:r>
          </w:p>
          <w:p w14:paraId="67555E9D" w14:textId="77777777" w:rsidR="00FB0F67" w:rsidRPr="00FB0F67" w:rsidRDefault="00FB0F67" w:rsidP="00FB0F67">
            <w:pPr>
              <w:ind w:left="351"/>
              <w:jc w:val="both"/>
              <w:rPr>
                <w:rFonts w:ascii="Arial Narrow" w:hAnsi="Arial Narrow" w:cs="Segoe UI"/>
                <w:sz w:val="22"/>
                <w:szCs w:val="22"/>
                <w:lang w:val="es-CO" w:eastAsia="es-CO"/>
              </w:rPr>
            </w:pPr>
          </w:p>
          <w:p w14:paraId="144DE4DF" w14:textId="77777777" w:rsidR="00262599" w:rsidRPr="00262599" w:rsidRDefault="00FB0F67" w:rsidP="00262599">
            <w:pPr>
              <w:ind w:left="351"/>
              <w:jc w:val="both"/>
              <w:rPr>
                <w:rFonts w:ascii="Arial Narrow" w:hAnsi="Arial Narrow" w:cs="Segoe UI"/>
                <w:sz w:val="22"/>
                <w:szCs w:val="22"/>
                <w:lang w:val="es-CO" w:eastAsia="es-CO"/>
              </w:rPr>
            </w:pPr>
            <w:r w:rsidRPr="00262599">
              <w:rPr>
                <w:rFonts w:ascii="Arial Narrow" w:hAnsi="Arial Narrow" w:cs="Segoe UI"/>
                <w:sz w:val="22"/>
                <w:szCs w:val="22"/>
                <w:lang w:val="es-CO" w:eastAsia="es-CO"/>
              </w:rPr>
              <w:lastRenderedPageBreak/>
              <w:t xml:space="preserve">Por lo anterior, </w:t>
            </w:r>
            <w:r w:rsidR="001464D5" w:rsidRPr="00262599">
              <w:rPr>
                <w:rFonts w:ascii="Arial Narrow" w:hAnsi="Arial Narrow" w:cs="Segoe UI"/>
                <w:sz w:val="22"/>
                <w:szCs w:val="22"/>
                <w:lang w:val="es-CO" w:eastAsia="es-CO"/>
              </w:rPr>
              <w:t>y dado que el desgaste natural de los diferentes tipos de llantas no es similar, se ha determinado el 20</w:t>
            </w:r>
            <w:r w:rsidR="00262599" w:rsidRPr="00262599">
              <w:rPr>
                <w:rFonts w:ascii="Arial Narrow" w:hAnsi="Arial Narrow" w:cs="Segoe UI"/>
                <w:sz w:val="22"/>
                <w:szCs w:val="22"/>
                <w:lang w:val="es-CO" w:eastAsia="es-CO"/>
              </w:rPr>
              <w:t xml:space="preserve">% como </w:t>
            </w:r>
            <w:r w:rsidR="00262599" w:rsidRPr="00262599">
              <w:rPr>
                <w:rFonts w:ascii="Arial Narrow" w:hAnsi="Arial Narrow" w:cs="Arial"/>
                <w:sz w:val="22"/>
                <w:szCs w:val="22"/>
                <w:lang w:val="es-CO"/>
              </w:rPr>
              <w:t xml:space="preserve">pérdida de peso estándar por </w:t>
            </w:r>
            <w:r w:rsidR="00262599" w:rsidRPr="00262599">
              <w:rPr>
                <w:rFonts w:ascii="Arial Narrow" w:hAnsi="Arial Narrow" w:cs="Segoe UI"/>
                <w:sz w:val="22"/>
                <w:szCs w:val="22"/>
                <w:lang w:val="es-CO" w:eastAsia="es-CO"/>
              </w:rPr>
              <w:t>desgaste natural de las llantas.</w:t>
            </w:r>
          </w:p>
          <w:p w14:paraId="6542EF61" w14:textId="77777777" w:rsidR="00262599" w:rsidRPr="00262599" w:rsidRDefault="00262599" w:rsidP="00262599">
            <w:pPr>
              <w:ind w:left="351"/>
              <w:jc w:val="both"/>
              <w:rPr>
                <w:rFonts w:ascii="Arial Narrow" w:hAnsi="Arial Narrow"/>
                <w:sz w:val="22"/>
                <w:szCs w:val="22"/>
                <w:lang w:val="es-CO" w:eastAsia="es-CO"/>
              </w:rPr>
            </w:pPr>
          </w:p>
          <w:p w14:paraId="3E63F849" w14:textId="0C4EEC5C" w:rsidR="00FB0F67" w:rsidRPr="00262599" w:rsidRDefault="00FB0F67" w:rsidP="00262599">
            <w:pPr>
              <w:ind w:left="351"/>
              <w:jc w:val="both"/>
              <w:rPr>
                <w:rStyle w:val="normaltextrun"/>
                <w:rFonts w:ascii="Arial Narrow" w:hAnsi="Arial Narrow" w:cs="Segoe UI"/>
                <w:sz w:val="22"/>
                <w:szCs w:val="22"/>
                <w:lang w:val="es-CO" w:eastAsia="es-CO"/>
              </w:rPr>
            </w:pPr>
            <w:r w:rsidRPr="00262599">
              <w:rPr>
                <w:rStyle w:val="normaltextrun"/>
                <w:rFonts w:ascii="Arial Narrow" w:hAnsi="Arial Narrow" w:cs="Segoe UI"/>
                <w:sz w:val="22"/>
                <w:szCs w:val="22"/>
              </w:rPr>
              <w:t xml:space="preserve">Es así como se establece entonces, la meta adicional </w:t>
            </w:r>
            <w:r w:rsidR="00262599">
              <w:rPr>
                <w:rStyle w:val="normaltextrun"/>
                <w:rFonts w:ascii="Arial Narrow" w:hAnsi="Arial Narrow" w:cs="Segoe UI"/>
                <w:sz w:val="22"/>
                <w:szCs w:val="22"/>
              </w:rPr>
              <w:t xml:space="preserve">de recolección selectiva y gestión ambiental para las diferentes llantas objeto del ámbito de aplicación, </w:t>
            </w:r>
            <w:r w:rsidRPr="00262599">
              <w:rPr>
                <w:rStyle w:val="normaltextrun"/>
                <w:rFonts w:ascii="Arial Narrow" w:hAnsi="Arial Narrow" w:cs="Segoe UI"/>
                <w:sz w:val="22"/>
                <w:szCs w:val="22"/>
              </w:rPr>
              <w:t xml:space="preserve">en </w:t>
            </w:r>
            <w:r w:rsidR="00262599">
              <w:rPr>
                <w:rStyle w:val="normaltextrun"/>
                <w:rFonts w:ascii="Arial Narrow" w:hAnsi="Arial Narrow" w:cs="Segoe UI"/>
                <w:sz w:val="22"/>
                <w:szCs w:val="22"/>
              </w:rPr>
              <w:t xml:space="preserve">porcentaje de </w:t>
            </w:r>
            <w:r w:rsidRPr="00262599">
              <w:rPr>
                <w:rStyle w:val="normaltextrun"/>
                <w:rFonts w:ascii="Arial Narrow" w:hAnsi="Arial Narrow" w:cs="Segoe UI"/>
                <w:sz w:val="22"/>
                <w:szCs w:val="22"/>
              </w:rPr>
              <w:t>peso, restándole un 20%, a</w:t>
            </w:r>
            <w:r w:rsidR="00262599">
              <w:rPr>
                <w:rStyle w:val="normaltextrun"/>
                <w:rFonts w:ascii="Arial Narrow" w:hAnsi="Arial Narrow" w:cs="Segoe UI"/>
                <w:sz w:val="22"/>
                <w:szCs w:val="22"/>
              </w:rPr>
              <w:t xml:space="preserve"> la </w:t>
            </w:r>
            <w:r w:rsidRPr="00262599">
              <w:rPr>
                <w:rStyle w:val="normaltextrun"/>
                <w:rFonts w:ascii="Arial Narrow" w:hAnsi="Arial Narrow" w:cs="Segoe UI"/>
                <w:sz w:val="22"/>
                <w:szCs w:val="22"/>
              </w:rPr>
              <w:t>meta de recolección selectiva y gestión ambiental mínima</w:t>
            </w:r>
            <w:r w:rsidR="00262599">
              <w:rPr>
                <w:rStyle w:val="normaltextrun"/>
                <w:rFonts w:ascii="Arial Narrow" w:hAnsi="Arial Narrow" w:cs="Segoe UI"/>
                <w:sz w:val="22"/>
                <w:szCs w:val="22"/>
              </w:rPr>
              <w:t xml:space="preserve"> de unidades producidas o importadas.</w:t>
            </w:r>
          </w:p>
          <w:p w14:paraId="1C38DB78" w14:textId="77777777" w:rsidR="00FB0F67" w:rsidRPr="00262599" w:rsidRDefault="00FB0F67" w:rsidP="00FB0F67">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4C4840FE" w14:textId="27CF6F1E" w:rsidR="00FB0F67" w:rsidRDefault="00FB0F67" w:rsidP="00FB0F67">
            <w:pPr>
              <w:pStyle w:val="paragraph"/>
              <w:spacing w:before="0" w:beforeAutospacing="0" w:after="0" w:afterAutospacing="0"/>
              <w:ind w:left="357"/>
              <w:jc w:val="both"/>
              <w:textAlignment w:val="baseline"/>
              <w:rPr>
                <w:rStyle w:val="normaltextrun"/>
                <w:rFonts w:ascii="Arial Narrow" w:hAnsi="Arial Narrow" w:cs="Segoe UI"/>
                <w:sz w:val="22"/>
                <w:szCs w:val="22"/>
              </w:rPr>
            </w:pPr>
            <w:r w:rsidRPr="00262599">
              <w:rPr>
                <w:rStyle w:val="normaltextrun"/>
                <w:rFonts w:ascii="Arial Narrow" w:hAnsi="Arial Narrow" w:cs="Segoe UI"/>
                <w:sz w:val="22"/>
                <w:szCs w:val="22"/>
              </w:rPr>
              <w:t>Lo que se tr</w:t>
            </w:r>
            <w:r>
              <w:rPr>
                <w:rStyle w:val="normaltextrun"/>
                <w:rFonts w:ascii="Arial Narrow" w:hAnsi="Arial Narrow" w:cs="Segoe UI"/>
                <w:sz w:val="22"/>
                <w:szCs w:val="22"/>
              </w:rPr>
              <w:t>aduce que una vez expedida la presente resolución, se debe dar cumplimiento tanto a la m</w:t>
            </w:r>
            <w:r w:rsidRPr="00E4412F">
              <w:rPr>
                <w:rStyle w:val="normaltextrun"/>
                <w:rFonts w:ascii="Arial Narrow" w:hAnsi="Arial Narrow" w:cs="Segoe UI"/>
                <w:sz w:val="22"/>
                <w:szCs w:val="22"/>
              </w:rPr>
              <w:t>eta de recolección selectiva y gestión ambiental mínima (%)</w:t>
            </w:r>
            <w:r>
              <w:rPr>
                <w:rStyle w:val="normaltextrun"/>
                <w:rFonts w:ascii="Arial Narrow" w:hAnsi="Arial Narrow" w:cs="Segoe UI"/>
                <w:sz w:val="22"/>
                <w:szCs w:val="22"/>
              </w:rPr>
              <w:t xml:space="preserve"> y a la m</w:t>
            </w:r>
            <w:r w:rsidRPr="00E4412F">
              <w:rPr>
                <w:rStyle w:val="normaltextrun"/>
                <w:rFonts w:ascii="Arial Narrow" w:hAnsi="Arial Narrow" w:cs="Segoe UI"/>
                <w:sz w:val="22"/>
                <w:szCs w:val="22"/>
              </w:rPr>
              <w:t>eta mínima de recolección y gestión ambiental de llantas usadas para peso (%</w:t>
            </w:r>
            <w:r>
              <w:rPr>
                <w:rStyle w:val="normaltextrun"/>
                <w:rFonts w:ascii="Arial Narrow" w:hAnsi="Arial Narrow" w:cs="Segoe UI"/>
                <w:sz w:val="22"/>
                <w:szCs w:val="22"/>
              </w:rPr>
              <w:t xml:space="preserve"> de peso</w:t>
            </w:r>
            <w:r w:rsidRPr="00E4412F">
              <w:rPr>
                <w:rStyle w:val="normaltextrun"/>
                <w:rFonts w:ascii="Arial Narrow" w:hAnsi="Arial Narrow" w:cs="Segoe UI"/>
                <w:sz w:val="22"/>
                <w:szCs w:val="22"/>
              </w:rPr>
              <w:t>)</w:t>
            </w:r>
            <w:r>
              <w:rPr>
                <w:rStyle w:val="normaltextrun"/>
                <w:rFonts w:ascii="Arial Narrow" w:hAnsi="Arial Narrow" w:cs="Segoe UI"/>
                <w:sz w:val="22"/>
                <w:szCs w:val="22"/>
              </w:rPr>
              <w:t>, como se presenta en las tablas 3 y 4 de la modificación al artículo 13 propuesto:</w:t>
            </w:r>
          </w:p>
          <w:p w14:paraId="16B2E568" w14:textId="77777777" w:rsidR="00FB0F67" w:rsidRDefault="00FB0F67" w:rsidP="00FB0F67">
            <w:pPr>
              <w:pStyle w:val="paragraph"/>
              <w:spacing w:before="0" w:beforeAutospacing="0" w:after="0" w:afterAutospacing="0"/>
              <w:jc w:val="both"/>
              <w:textAlignment w:val="baseline"/>
              <w:rPr>
                <w:rFonts w:ascii="Arial Narrow" w:hAnsi="Arial Narrow" w:cs="Arial"/>
                <w:b/>
                <w:sz w:val="22"/>
                <w:szCs w:val="22"/>
              </w:rPr>
            </w:pPr>
          </w:p>
          <w:p w14:paraId="5BE69B07" w14:textId="0F67A85E" w:rsidR="00FB0F67" w:rsidRDefault="00FB0F67" w:rsidP="00FB0F67">
            <w:pPr>
              <w:pStyle w:val="paragraph"/>
              <w:spacing w:before="0" w:beforeAutospacing="0" w:after="0" w:afterAutospacing="0"/>
              <w:jc w:val="both"/>
              <w:textAlignment w:val="baseline"/>
              <w:rPr>
                <w:rStyle w:val="normaltextrun"/>
                <w:rFonts w:ascii="Arial Narrow" w:hAnsi="Arial Narrow" w:cs="Segoe UI"/>
                <w:sz w:val="22"/>
                <w:szCs w:val="22"/>
              </w:rPr>
            </w:pPr>
            <w:r w:rsidRPr="00FD3DF0">
              <w:rPr>
                <w:rFonts w:ascii="Arial Narrow" w:hAnsi="Arial Narrow" w:cs="Arial"/>
                <w:b/>
                <w:sz w:val="22"/>
                <w:szCs w:val="22"/>
              </w:rPr>
              <w:t>13.1 Metas de Recolección selectiva y Gestión ambiental de llantas usadas de los tipos de llantas y de las llantas de los vehículos del ámbito de aplicación de la presente resolución.</w:t>
            </w:r>
          </w:p>
          <w:p w14:paraId="66745C3D" w14:textId="77777777" w:rsidR="00FB0F67" w:rsidRDefault="00FB0F67" w:rsidP="00FB0F67">
            <w:pPr>
              <w:pStyle w:val="paragraph"/>
              <w:spacing w:before="0" w:beforeAutospacing="0" w:after="0" w:afterAutospacing="0"/>
              <w:jc w:val="both"/>
              <w:textAlignment w:val="baseline"/>
              <w:rPr>
                <w:rStyle w:val="normaltextrun"/>
                <w:rFonts w:ascii="Arial Narrow" w:hAnsi="Arial Narrow" w:cs="Segoe UI"/>
                <w:sz w:val="22"/>
                <w:szCs w:val="22"/>
              </w:rPr>
            </w:pPr>
          </w:p>
          <w:p w14:paraId="36146020" w14:textId="77777777" w:rsidR="00FB0F67" w:rsidRPr="00B74FD3" w:rsidRDefault="00FB0F67" w:rsidP="00FB0F67">
            <w:pPr>
              <w:shd w:val="clear" w:color="auto" w:fill="FFFFFF"/>
              <w:jc w:val="both"/>
              <w:rPr>
                <w:rFonts w:ascii="Arial Narrow" w:eastAsia="Calibri" w:hAnsi="Arial Narrow" w:cs="Arial"/>
                <w:bCs/>
                <w:kern w:val="2"/>
                <w:sz w:val="22"/>
                <w:szCs w:val="22"/>
                <w:lang w:val="es-CO" w:eastAsia="en-US"/>
                <w14:ligatures w14:val="standardContextual"/>
              </w:rPr>
            </w:pPr>
            <w:r w:rsidRPr="00B74FD3">
              <w:rPr>
                <w:rFonts w:ascii="Arial Narrow" w:eastAsia="Calibri" w:hAnsi="Arial Narrow" w:cs="Arial"/>
                <w:b/>
                <w:kern w:val="2"/>
                <w:sz w:val="22"/>
                <w:szCs w:val="22"/>
                <w:lang w:val="es-CO" w:eastAsia="en-US"/>
                <w14:ligatures w14:val="standardContextual"/>
              </w:rPr>
              <w:t xml:space="preserve">Tabla 3. </w:t>
            </w:r>
            <w:r w:rsidRPr="00B74FD3">
              <w:rPr>
                <w:rFonts w:ascii="Arial Narrow" w:eastAsia="Calibri" w:hAnsi="Arial Narrow" w:cs="Arial"/>
                <w:bCs/>
                <w:kern w:val="2"/>
                <w:sz w:val="22"/>
                <w:szCs w:val="22"/>
                <w:lang w:val="es-CO" w:eastAsia="en-US"/>
                <w14:ligatures w14:val="standardContextual"/>
              </w:rPr>
              <w:t xml:space="preserve">Metas de recolección selectiva y gestión ambiental de llantas usadas de vehículos, automóviles, camionetas y microbuses, busetas, buses, camiones, tractomulas y buses troncales del sistema de transporte masivo  </w:t>
            </w:r>
          </w:p>
          <w:p w14:paraId="46B87428" w14:textId="77777777" w:rsidR="00FB0F67" w:rsidRPr="00B74FD3" w:rsidRDefault="00FB0F67" w:rsidP="00FB0F67">
            <w:pPr>
              <w:shd w:val="clear" w:color="auto" w:fill="FFFFFF"/>
              <w:spacing w:line="256" w:lineRule="auto"/>
              <w:rPr>
                <w:rFonts w:ascii="Verdana" w:eastAsia="Calibri" w:hAnsi="Verdana" w:cs="Arial"/>
                <w:bCs/>
                <w:kern w:val="2"/>
                <w:sz w:val="22"/>
                <w:szCs w:val="22"/>
                <w:lang w:val="es-CO" w:eastAsia="en-US"/>
                <w14:ligatures w14:val="standardContextual"/>
              </w:rPr>
            </w:pPr>
          </w:p>
          <w:tbl>
            <w:tblPr>
              <w:tblStyle w:val="Tablaconcuadrcula"/>
              <w:tblW w:w="9225" w:type="dxa"/>
              <w:jc w:val="center"/>
              <w:tblLayout w:type="fixed"/>
              <w:tblLook w:val="04A0" w:firstRow="1" w:lastRow="0" w:firstColumn="1" w:lastColumn="0" w:noHBand="0" w:noVBand="1"/>
            </w:tblPr>
            <w:tblGrid>
              <w:gridCol w:w="2032"/>
              <w:gridCol w:w="1658"/>
              <w:gridCol w:w="1838"/>
              <w:gridCol w:w="2076"/>
              <w:gridCol w:w="1621"/>
            </w:tblGrid>
            <w:tr w:rsidR="00FB0F67" w:rsidRPr="00B74FD3" w14:paraId="762BE889" w14:textId="77777777" w:rsidTr="007E4447">
              <w:trPr>
                <w:trHeight w:val="1286"/>
                <w:tblHeader/>
                <w:jc w:val="center"/>
              </w:trPr>
              <w:tc>
                <w:tcPr>
                  <w:tcW w:w="2032" w:type="dxa"/>
                  <w:vAlign w:val="center"/>
                </w:tcPr>
                <w:p w14:paraId="2D4CF5C7" w14:textId="77777777" w:rsidR="00FB0F67" w:rsidRPr="00B74FD3" w:rsidRDefault="00FB0F67" w:rsidP="00FB0F67">
                  <w:pPr>
                    <w:jc w:val="center"/>
                    <w:rPr>
                      <w:rFonts w:ascii="Verdana" w:hAnsi="Verdana" w:cs="Arial"/>
                      <w:bCs/>
                      <w:sz w:val="16"/>
                      <w:szCs w:val="16"/>
                      <w:lang w:val="es-CO"/>
                    </w:rPr>
                  </w:pPr>
                  <w:r w:rsidRPr="00B74FD3">
                    <w:rPr>
                      <w:rFonts w:ascii="Verdana" w:hAnsi="Verdana" w:cs="Arial"/>
                      <w:bCs/>
                      <w:sz w:val="16"/>
                      <w:szCs w:val="16"/>
                      <w:lang w:val="es-CO"/>
                    </w:rPr>
                    <w:t>Periodo base para el cálculo de la meta</w:t>
                  </w:r>
                </w:p>
                <w:p w14:paraId="7C7DA590" w14:textId="77777777" w:rsidR="00FB0F67" w:rsidRPr="00B74FD3" w:rsidRDefault="00FB0F67" w:rsidP="00FB0F67">
                  <w:pPr>
                    <w:jc w:val="center"/>
                    <w:rPr>
                      <w:rFonts w:ascii="Verdana" w:hAnsi="Verdana" w:cs="Arial"/>
                      <w:bCs/>
                      <w:sz w:val="16"/>
                      <w:szCs w:val="16"/>
                      <w:lang w:val="es-CO"/>
                    </w:rPr>
                  </w:pPr>
                  <w:r w:rsidRPr="00B74FD3">
                    <w:rPr>
                      <w:rFonts w:ascii="Verdana" w:hAnsi="Verdana" w:cs="Arial"/>
                      <w:bCs/>
                      <w:sz w:val="16"/>
                      <w:szCs w:val="16"/>
                      <w:lang w:val="es-CO"/>
                    </w:rPr>
                    <w:t>(años fiscales)</w:t>
                  </w:r>
                </w:p>
              </w:tc>
              <w:tc>
                <w:tcPr>
                  <w:tcW w:w="1658" w:type="dxa"/>
                  <w:vAlign w:val="center"/>
                </w:tcPr>
                <w:p w14:paraId="7B457015" w14:textId="77777777" w:rsidR="00FB0F67" w:rsidRPr="00B74FD3" w:rsidRDefault="00FB0F67" w:rsidP="00FB0F67">
                  <w:pPr>
                    <w:jc w:val="center"/>
                    <w:rPr>
                      <w:rFonts w:ascii="Verdana" w:hAnsi="Verdana" w:cs="Arial"/>
                      <w:bCs/>
                      <w:sz w:val="16"/>
                      <w:szCs w:val="16"/>
                      <w:lang w:val="es-CO"/>
                    </w:rPr>
                  </w:pPr>
                  <w:r w:rsidRPr="00B74FD3">
                    <w:rPr>
                      <w:rFonts w:ascii="Verdana" w:hAnsi="Verdana" w:cs="Arial"/>
                      <w:bCs/>
                      <w:sz w:val="16"/>
                      <w:szCs w:val="16"/>
                      <w:lang w:val="es-CO"/>
                    </w:rPr>
                    <w:t>Periodo de recolección</w:t>
                  </w:r>
                </w:p>
                <w:p w14:paraId="31E9CFB0" w14:textId="77777777" w:rsidR="00FB0F67" w:rsidRPr="00B74FD3" w:rsidRDefault="00FB0F67" w:rsidP="00FB0F67">
                  <w:pPr>
                    <w:jc w:val="center"/>
                    <w:rPr>
                      <w:rFonts w:ascii="Verdana" w:hAnsi="Verdana" w:cs="Arial"/>
                      <w:bCs/>
                      <w:sz w:val="16"/>
                      <w:szCs w:val="16"/>
                      <w:lang w:val="es-CO"/>
                    </w:rPr>
                  </w:pPr>
                  <w:r w:rsidRPr="00B74FD3">
                    <w:rPr>
                      <w:rFonts w:ascii="Verdana" w:hAnsi="Verdana" w:cs="Arial"/>
                      <w:bCs/>
                      <w:sz w:val="16"/>
                      <w:szCs w:val="16"/>
                      <w:lang w:val="es-CO"/>
                    </w:rPr>
                    <w:t>(año fiscal)</w:t>
                  </w:r>
                </w:p>
              </w:tc>
              <w:tc>
                <w:tcPr>
                  <w:tcW w:w="1838" w:type="dxa"/>
                  <w:vAlign w:val="center"/>
                </w:tcPr>
                <w:p w14:paraId="71D168BA" w14:textId="77777777" w:rsidR="00FB0F67" w:rsidRPr="00B74FD3" w:rsidRDefault="00FB0F67" w:rsidP="00FB0F67">
                  <w:pPr>
                    <w:jc w:val="center"/>
                    <w:rPr>
                      <w:rFonts w:ascii="Verdana" w:hAnsi="Verdana" w:cs="Arial"/>
                      <w:bCs/>
                      <w:sz w:val="16"/>
                      <w:szCs w:val="16"/>
                      <w:lang w:val="es-CO"/>
                    </w:rPr>
                  </w:pPr>
                  <w:r w:rsidRPr="00B74FD3">
                    <w:rPr>
                      <w:rFonts w:ascii="Verdana" w:hAnsi="Verdana" w:cs="Arial"/>
                      <w:bCs/>
                      <w:sz w:val="16"/>
                      <w:szCs w:val="16"/>
                      <w:lang w:val="es-CO"/>
                    </w:rPr>
                    <w:t>Año de presentación de informe de actualización y avances</w:t>
                  </w:r>
                </w:p>
              </w:tc>
              <w:tc>
                <w:tcPr>
                  <w:tcW w:w="2076" w:type="dxa"/>
                  <w:vAlign w:val="center"/>
                </w:tcPr>
                <w:p w14:paraId="09ABA6F4" w14:textId="77777777" w:rsidR="00FB0F67" w:rsidRPr="00B74FD3" w:rsidRDefault="00FB0F67" w:rsidP="00FB0F67">
                  <w:pPr>
                    <w:jc w:val="center"/>
                    <w:rPr>
                      <w:rFonts w:ascii="Verdana" w:hAnsi="Verdana" w:cs="Arial"/>
                      <w:bCs/>
                      <w:sz w:val="16"/>
                      <w:szCs w:val="16"/>
                      <w:highlight w:val="yellow"/>
                      <w:lang w:val="es-CO"/>
                    </w:rPr>
                  </w:pPr>
                  <w:r w:rsidRPr="00B74FD3">
                    <w:rPr>
                      <w:rFonts w:ascii="Verdana" w:hAnsi="Verdana" w:cs="Arial"/>
                      <w:bCs/>
                      <w:sz w:val="16"/>
                      <w:szCs w:val="16"/>
                      <w:lang w:val="es-CO"/>
                    </w:rPr>
                    <w:t>Meta de recolección selectiva y gestión ambiental mínima (%)</w:t>
                  </w:r>
                </w:p>
              </w:tc>
              <w:tc>
                <w:tcPr>
                  <w:tcW w:w="1621" w:type="dxa"/>
                  <w:tcBorders>
                    <w:bottom w:val="single" w:sz="4" w:space="0" w:color="auto"/>
                  </w:tcBorders>
                </w:tcPr>
                <w:p w14:paraId="19308A07"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ES_tradnl"/>
                    </w:rPr>
                    <w:t>Meta</w:t>
                  </w:r>
                  <w:r w:rsidRPr="00FB0F67">
                    <w:rPr>
                      <w:rFonts w:ascii="Verdana" w:hAnsi="Verdana" w:cs="Arial"/>
                      <w:b/>
                      <w:sz w:val="16"/>
                      <w:szCs w:val="16"/>
                      <w:lang w:val="es-CO"/>
                    </w:rPr>
                    <w:t xml:space="preserve"> mínima de recolección y gestión ambiental de llantas usadas </w:t>
                  </w:r>
                  <w:r w:rsidRPr="00FB0F67">
                    <w:rPr>
                      <w:rFonts w:ascii="Verdana" w:hAnsi="Verdana" w:cs="Arial"/>
                      <w:b/>
                      <w:sz w:val="16"/>
                      <w:szCs w:val="16"/>
                      <w:lang w:val="es-ES_tradnl"/>
                    </w:rPr>
                    <w:t xml:space="preserve">para peso </w:t>
                  </w:r>
                  <w:r w:rsidRPr="00FB0F67">
                    <w:rPr>
                      <w:rFonts w:ascii="Verdana" w:hAnsi="Verdana" w:cs="Arial"/>
                      <w:b/>
                      <w:sz w:val="16"/>
                      <w:szCs w:val="16"/>
                      <w:lang w:val="es-CO"/>
                    </w:rPr>
                    <w:t>(%)</w:t>
                  </w:r>
                </w:p>
              </w:tc>
            </w:tr>
            <w:tr w:rsidR="00FB0F67" w:rsidRPr="00B74FD3" w14:paraId="21074F8B" w14:textId="77777777" w:rsidTr="007E4447">
              <w:trPr>
                <w:jc w:val="center"/>
              </w:trPr>
              <w:tc>
                <w:tcPr>
                  <w:tcW w:w="2032" w:type="dxa"/>
                  <w:vAlign w:val="center"/>
                </w:tcPr>
                <w:p w14:paraId="0D84C03E"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2015 - 2016</w:t>
                  </w:r>
                </w:p>
              </w:tc>
              <w:tc>
                <w:tcPr>
                  <w:tcW w:w="1658" w:type="dxa"/>
                  <w:vAlign w:val="center"/>
                </w:tcPr>
                <w:p w14:paraId="38CFB05D"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2017</w:t>
                  </w:r>
                </w:p>
              </w:tc>
              <w:tc>
                <w:tcPr>
                  <w:tcW w:w="1838" w:type="dxa"/>
                  <w:vAlign w:val="center"/>
                </w:tcPr>
                <w:p w14:paraId="12ADAF36"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2018</w:t>
                  </w:r>
                </w:p>
              </w:tc>
              <w:tc>
                <w:tcPr>
                  <w:tcW w:w="2076" w:type="dxa"/>
                  <w:vAlign w:val="center"/>
                </w:tcPr>
                <w:p w14:paraId="2C2772C6"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45</w:t>
                  </w:r>
                </w:p>
              </w:tc>
              <w:tc>
                <w:tcPr>
                  <w:tcW w:w="1621" w:type="dxa"/>
                  <w:tcBorders>
                    <w:top w:val="single" w:sz="4" w:space="0" w:color="auto"/>
                    <w:left w:val="nil"/>
                    <w:bottom w:val="single" w:sz="4" w:space="0" w:color="auto"/>
                    <w:right w:val="single" w:sz="4" w:space="0" w:color="auto"/>
                  </w:tcBorders>
                  <w:shd w:val="clear" w:color="auto" w:fill="auto"/>
                  <w:vAlign w:val="center"/>
                </w:tcPr>
                <w:p w14:paraId="006AECB3"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CO"/>
                    </w:rPr>
                    <w:t>36</w:t>
                  </w:r>
                </w:p>
              </w:tc>
            </w:tr>
            <w:tr w:rsidR="00FB0F67" w:rsidRPr="00B74FD3" w14:paraId="0EFEDFEB" w14:textId="77777777" w:rsidTr="007E4447">
              <w:trPr>
                <w:jc w:val="center"/>
              </w:trPr>
              <w:tc>
                <w:tcPr>
                  <w:tcW w:w="2032" w:type="dxa"/>
                  <w:vAlign w:val="center"/>
                </w:tcPr>
                <w:p w14:paraId="30834A09"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2016 - 2017</w:t>
                  </w:r>
                </w:p>
              </w:tc>
              <w:tc>
                <w:tcPr>
                  <w:tcW w:w="1658" w:type="dxa"/>
                  <w:vAlign w:val="center"/>
                </w:tcPr>
                <w:p w14:paraId="37BC05A3"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2018</w:t>
                  </w:r>
                </w:p>
              </w:tc>
              <w:tc>
                <w:tcPr>
                  <w:tcW w:w="1838" w:type="dxa"/>
                  <w:vAlign w:val="center"/>
                </w:tcPr>
                <w:p w14:paraId="43310F8D"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2019</w:t>
                  </w:r>
                </w:p>
              </w:tc>
              <w:tc>
                <w:tcPr>
                  <w:tcW w:w="2076" w:type="dxa"/>
                  <w:vAlign w:val="center"/>
                </w:tcPr>
                <w:p w14:paraId="4C2E6166"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50</w:t>
                  </w:r>
                </w:p>
              </w:tc>
              <w:tc>
                <w:tcPr>
                  <w:tcW w:w="1621" w:type="dxa"/>
                  <w:tcBorders>
                    <w:top w:val="single" w:sz="4" w:space="0" w:color="auto"/>
                    <w:left w:val="nil"/>
                    <w:bottom w:val="single" w:sz="4" w:space="0" w:color="auto"/>
                    <w:right w:val="single" w:sz="4" w:space="0" w:color="auto"/>
                  </w:tcBorders>
                  <w:shd w:val="clear" w:color="auto" w:fill="auto"/>
                  <w:vAlign w:val="center"/>
                </w:tcPr>
                <w:p w14:paraId="2A5B6358"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CO"/>
                    </w:rPr>
                    <w:t>40</w:t>
                  </w:r>
                </w:p>
              </w:tc>
            </w:tr>
            <w:tr w:rsidR="00FB0F67" w:rsidRPr="00B74FD3" w14:paraId="2257C8A8" w14:textId="77777777" w:rsidTr="007E4447">
              <w:trPr>
                <w:jc w:val="center"/>
              </w:trPr>
              <w:tc>
                <w:tcPr>
                  <w:tcW w:w="2032" w:type="dxa"/>
                  <w:vAlign w:val="center"/>
                </w:tcPr>
                <w:p w14:paraId="62E0EFA5"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2017- 2018</w:t>
                  </w:r>
                </w:p>
              </w:tc>
              <w:tc>
                <w:tcPr>
                  <w:tcW w:w="1658" w:type="dxa"/>
                  <w:vAlign w:val="center"/>
                </w:tcPr>
                <w:p w14:paraId="6A566C66"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2019</w:t>
                  </w:r>
                </w:p>
              </w:tc>
              <w:tc>
                <w:tcPr>
                  <w:tcW w:w="1838" w:type="dxa"/>
                  <w:vAlign w:val="center"/>
                </w:tcPr>
                <w:p w14:paraId="10896EA2"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2020</w:t>
                  </w:r>
                </w:p>
              </w:tc>
              <w:tc>
                <w:tcPr>
                  <w:tcW w:w="2076" w:type="dxa"/>
                  <w:vAlign w:val="center"/>
                </w:tcPr>
                <w:p w14:paraId="0365EDB5"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55</w:t>
                  </w:r>
                </w:p>
              </w:tc>
              <w:tc>
                <w:tcPr>
                  <w:tcW w:w="1621" w:type="dxa"/>
                  <w:tcBorders>
                    <w:top w:val="single" w:sz="4" w:space="0" w:color="auto"/>
                    <w:left w:val="nil"/>
                    <w:bottom w:val="single" w:sz="4" w:space="0" w:color="auto"/>
                    <w:right w:val="single" w:sz="4" w:space="0" w:color="auto"/>
                  </w:tcBorders>
                  <w:shd w:val="clear" w:color="auto" w:fill="auto"/>
                  <w:vAlign w:val="center"/>
                </w:tcPr>
                <w:p w14:paraId="785CFCB6"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CO"/>
                    </w:rPr>
                    <w:t>44</w:t>
                  </w:r>
                </w:p>
              </w:tc>
            </w:tr>
            <w:tr w:rsidR="00FB0F67" w:rsidRPr="00B74FD3" w14:paraId="093AFB26" w14:textId="77777777" w:rsidTr="007E4447">
              <w:trPr>
                <w:jc w:val="center"/>
              </w:trPr>
              <w:tc>
                <w:tcPr>
                  <w:tcW w:w="2032" w:type="dxa"/>
                  <w:vAlign w:val="center"/>
                </w:tcPr>
                <w:p w14:paraId="1CB9964C"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2018 - 2019</w:t>
                  </w:r>
                </w:p>
              </w:tc>
              <w:tc>
                <w:tcPr>
                  <w:tcW w:w="1658" w:type="dxa"/>
                  <w:vAlign w:val="center"/>
                </w:tcPr>
                <w:p w14:paraId="16C79D1B"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2020</w:t>
                  </w:r>
                </w:p>
              </w:tc>
              <w:tc>
                <w:tcPr>
                  <w:tcW w:w="1838" w:type="dxa"/>
                  <w:vAlign w:val="center"/>
                </w:tcPr>
                <w:p w14:paraId="02E2D0D5"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2021</w:t>
                  </w:r>
                </w:p>
              </w:tc>
              <w:tc>
                <w:tcPr>
                  <w:tcW w:w="2076" w:type="dxa"/>
                  <w:vAlign w:val="center"/>
                </w:tcPr>
                <w:p w14:paraId="52721B73"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60</w:t>
                  </w:r>
                </w:p>
              </w:tc>
              <w:tc>
                <w:tcPr>
                  <w:tcW w:w="1621" w:type="dxa"/>
                  <w:tcBorders>
                    <w:top w:val="single" w:sz="4" w:space="0" w:color="auto"/>
                    <w:left w:val="nil"/>
                    <w:bottom w:val="single" w:sz="4" w:space="0" w:color="auto"/>
                    <w:right w:val="single" w:sz="4" w:space="0" w:color="auto"/>
                  </w:tcBorders>
                  <w:shd w:val="clear" w:color="auto" w:fill="auto"/>
                  <w:vAlign w:val="center"/>
                </w:tcPr>
                <w:p w14:paraId="7E93DABA"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CO"/>
                    </w:rPr>
                    <w:t>48</w:t>
                  </w:r>
                </w:p>
              </w:tc>
            </w:tr>
            <w:tr w:rsidR="00FB0F67" w:rsidRPr="00B74FD3" w14:paraId="2AD238D8" w14:textId="77777777" w:rsidTr="007E4447">
              <w:trPr>
                <w:jc w:val="center"/>
              </w:trPr>
              <w:tc>
                <w:tcPr>
                  <w:tcW w:w="2032" w:type="dxa"/>
                  <w:vAlign w:val="center"/>
                </w:tcPr>
                <w:p w14:paraId="36C191BC"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2019 - 2020</w:t>
                  </w:r>
                </w:p>
              </w:tc>
              <w:tc>
                <w:tcPr>
                  <w:tcW w:w="1658" w:type="dxa"/>
                  <w:vAlign w:val="center"/>
                </w:tcPr>
                <w:p w14:paraId="3B00A43A"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2021</w:t>
                  </w:r>
                </w:p>
              </w:tc>
              <w:tc>
                <w:tcPr>
                  <w:tcW w:w="1838" w:type="dxa"/>
                  <w:vAlign w:val="center"/>
                </w:tcPr>
                <w:p w14:paraId="22A91120"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2022</w:t>
                  </w:r>
                </w:p>
              </w:tc>
              <w:tc>
                <w:tcPr>
                  <w:tcW w:w="2076" w:type="dxa"/>
                  <w:vAlign w:val="center"/>
                </w:tcPr>
                <w:p w14:paraId="4B02BA1D"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65</w:t>
                  </w:r>
                </w:p>
              </w:tc>
              <w:tc>
                <w:tcPr>
                  <w:tcW w:w="1621" w:type="dxa"/>
                  <w:tcBorders>
                    <w:top w:val="single" w:sz="4" w:space="0" w:color="auto"/>
                    <w:left w:val="nil"/>
                    <w:bottom w:val="single" w:sz="4" w:space="0" w:color="auto"/>
                    <w:right w:val="single" w:sz="4" w:space="0" w:color="auto"/>
                  </w:tcBorders>
                  <w:shd w:val="clear" w:color="auto" w:fill="auto"/>
                  <w:vAlign w:val="center"/>
                </w:tcPr>
                <w:p w14:paraId="42AABAEF"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CO"/>
                    </w:rPr>
                    <w:t>52</w:t>
                  </w:r>
                </w:p>
              </w:tc>
            </w:tr>
            <w:tr w:rsidR="00FB0F67" w:rsidRPr="00B74FD3" w14:paraId="22D4CCF9" w14:textId="77777777" w:rsidTr="007E4447">
              <w:trPr>
                <w:jc w:val="center"/>
              </w:trPr>
              <w:tc>
                <w:tcPr>
                  <w:tcW w:w="2032" w:type="dxa"/>
                  <w:vAlign w:val="center"/>
                </w:tcPr>
                <w:p w14:paraId="5DDB7E06"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2020 - 2021</w:t>
                  </w:r>
                </w:p>
              </w:tc>
              <w:tc>
                <w:tcPr>
                  <w:tcW w:w="1658" w:type="dxa"/>
                  <w:vAlign w:val="center"/>
                </w:tcPr>
                <w:p w14:paraId="487E97ED"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2022</w:t>
                  </w:r>
                </w:p>
              </w:tc>
              <w:tc>
                <w:tcPr>
                  <w:tcW w:w="1838" w:type="dxa"/>
                  <w:vAlign w:val="center"/>
                </w:tcPr>
                <w:p w14:paraId="3B974094"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2023</w:t>
                  </w:r>
                </w:p>
              </w:tc>
              <w:tc>
                <w:tcPr>
                  <w:tcW w:w="2076" w:type="dxa"/>
                  <w:vAlign w:val="center"/>
                </w:tcPr>
                <w:p w14:paraId="349553AB"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70</w:t>
                  </w:r>
                </w:p>
              </w:tc>
              <w:tc>
                <w:tcPr>
                  <w:tcW w:w="1621" w:type="dxa"/>
                  <w:tcBorders>
                    <w:top w:val="single" w:sz="4" w:space="0" w:color="auto"/>
                    <w:left w:val="nil"/>
                    <w:bottom w:val="single" w:sz="4" w:space="0" w:color="auto"/>
                    <w:right w:val="single" w:sz="4" w:space="0" w:color="auto"/>
                  </w:tcBorders>
                  <w:shd w:val="clear" w:color="auto" w:fill="auto"/>
                  <w:vAlign w:val="center"/>
                </w:tcPr>
                <w:p w14:paraId="5FB7A228"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CO"/>
                    </w:rPr>
                    <w:t>56</w:t>
                  </w:r>
                </w:p>
              </w:tc>
            </w:tr>
            <w:tr w:rsidR="00FB0F67" w:rsidRPr="00B74FD3" w14:paraId="70A71A5A" w14:textId="77777777" w:rsidTr="007E4447">
              <w:trPr>
                <w:jc w:val="center"/>
              </w:trPr>
              <w:tc>
                <w:tcPr>
                  <w:tcW w:w="2032" w:type="dxa"/>
                  <w:vAlign w:val="center"/>
                </w:tcPr>
                <w:p w14:paraId="58C82A46"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2021 - 2022</w:t>
                  </w:r>
                </w:p>
              </w:tc>
              <w:tc>
                <w:tcPr>
                  <w:tcW w:w="1658" w:type="dxa"/>
                  <w:vAlign w:val="center"/>
                </w:tcPr>
                <w:p w14:paraId="120A93A7"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2023</w:t>
                  </w:r>
                </w:p>
              </w:tc>
              <w:tc>
                <w:tcPr>
                  <w:tcW w:w="1838" w:type="dxa"/>
                  <w:vAlign w:val="center"/>
                </w:tcPr>
                <w:p w14:paraId="3ACF2770"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2024</w:t>
                  </w:r>
                </w:p>
              </w:tc>
              <w:tc>
                <w:tcPr>
                  <w:tcW w:w="2076" w:type="dxa"/>
                  <w:vAlign w:val="center"/>
                </w:tcPr>
                <w:p w14:paraId="3828CF40"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75</w:t>
                  </w:r>
                </w:p>
              </w:tc>
              <w:tc>
                <w:tcPr>
                  <w:tcW w:w="1621" w:type="dxa"/>
                  <w:tcBorders>
                    <w:top w:val="single" w:sz="4" w:space="0" w:color="auto"/>
                    <w:left w:val="nil"/>
                    <w:bottom w:val="single" w:sz="4" w:space="0" w:color="auto"/>
                    <w:right w:val="single" w:sz="4" w:space="0" w:color="auto"/>
                  </w:tcBorders>
                  <w:shd w:val="clear" w:color="auto" w:fill="auto"/>
                  <w:vAlign w:val="center"/>
                </w:tcPr>
                <w:p w14:paraId="10A3A2BE"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CO"/>
                    </w:rPr>
                    <w:t>60</w:t>
                  </w:r>
                </w:p>
              </w:tc>
            </w:tr>
            <w:tr w:rsidR="00FB0F67" w:rsidRPr="00B74FD3" w14:paraId="31066B0C" w14:textId="77777777" w:rsidTr="007E4447">
              <w:trPr>
                <w:jc w:val="center"/>
              </w:trPr>
              <w:tc>
                <w:tcPr>
                  <w:tcW w:w="2032" w:type="dxa"/>
                  <w:vAlign w:val="center"/>
                </w:tcPr>
                <w:p w14:paraId="55AAEBE6"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2022 - 2023</w:t>
                  </w:r>
                </w:p>
              </w:tc>
              <w:tc>
                <w:tcPr>
                  <w:tcW w:w="1658" w:type="dxa"/>
                  <w:vAlign w:val="center"/>
                </w:tcPr>
                <w:p w14:paraId="1928C47A"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2024</w:t>
                  </w:r>
                </w:p>
              </w:tc>
              <w:tc>
                <w:tcPr>
                  <w:tcW w:w="1838" w:type="dxa"/>
                  <w:vAlign w:val="center"/>
                </w:tcPr>
                <w:p w14:paraId="4C0641B4"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2025</w:t>
                  </w:r>
                </w:p>
              </w:tc>
              <w:tc>
                <w:tcPr>
                  <w:tcW w:w="2076" w:type="dxa"/>
                  <w:vAlign w:val="center"/>
                </w:tcPr>
                <w:p w14:paraId="271377E0"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80</w:t>
                  </w:r>
                </w:p>
              </w:tc>
              <w:tc>
                <w:tcPr>
                  <w:tcW w:w="1621" w:type="dxa"/>
                  <w:tcBorders>
                    <w:top w:val="single" w:sz="4" w:space="0" w:color="auto"/>
                    <w:left w:val="nil"/>
                    <w:bottom w:val="single" w:sz="4" w:space="0" w:color="auto"/>
                    <w:right w:val="single" w:sz="4" w:space="0" w:color="auto"/>
                  </w:tcBorders>
                  <w:shd w:val="clear" w:color="auto" w:fill="auto"/>
                  <w:vAlign w:val="center"/>
                </w:tcPr>
                <w:p w14:paraId="30EA8BEA"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CO"/>
                    </w:rPr>
                    <w:t>64</w:t>
                  </w:r>
                </w:p>
              </w:tc>
            </w:tr>
            <w:tr w:rsidR="00FB0F67" w:rsidRPr="00B74FD3" w14:paraId="467F90C7" w14:textId="77777777" w:rsidTr="007E4447">
              <w:trPr>
                <w:jc w:val="center"/>
              </w:trPr>
              <w:tc>
                <w:tcPr>
                  <w:tcW w:w="2032" w:type="dxa"/>
                  <w:vAlign w:val="center"/>
                </w:tcPr>
                <w:p w14:paraId="5E45796F" w14:textId="77777777" w:rsidR="00FB0F67" w:rsidRPr="00B74FD3" w:rsidRDefault="00FB0F67" w:rsidP="00FB0F67">
                  <w:pPr>
                    <w:jc w:val="center"/>
                    <w:rPr>
                      <w:rFonts w:ascii="Verdana" w:hAnsi="Verdana" w:cs="Arial"/>
                      <w:sz w:val="16"/>
                      <w:szCs w:val="16"/>
                      <w:lang w:val="es-CO"/>
                    </w:rPr>
                  </w:pPr>
                  <w:bookmarkStart w:id="2" w:name="_Hlk233267666"/>
                  <w:r w:rsidRPr="00B74FD3">
                    <w:rPr>
                      <w:rFonts w:ascii="Verdana" w:hAnsi="Verdana" w:cs="Arial"/>
                      <w:sz w:val="16"/>
                      <w:szCs w:val="16"/>
                      <w:lang w:val="es-CO"/>
                    </w:rPr>
                    <w:t>2023 - 2024</w:t>
                  </w:r>
                </w:p>
              </w:tc>
              <w:tc>
                <w:tcPr>
                  <w:tcW w:w="1658" w:type="dxa"/>
                  <w:vAlign w:val="center"/>
                </w:tcPr>
                <w:p w14:paraId="2A507B81"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2025</w:t>
                  </w:r>
                </w:p>
              </w:tc>
              <w:tc>
                <w:tcPr>
                  <w:tcW w:w="1838" w:type="dxa"/>
                  <w:vAlign w:val="center"/>
                </w:tcPr>
                <w:p w14:paraId="6C9ED815"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2026</w:t>
                  </w:r>
                </w:p>
              </w:tc>
              <w:tc>
                <w:tcPr>
                  <w:tcW w:w="2076" w:type="dxa"/>
                  <w:vAlign w:val="center"/>
                </w:tcPr>
                <w:p w14:paraId="24D47DC4"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80</w:t>
                  </w:r>
                </w:p>
              </w:tc>
              <w:tc>
                <w:tcPr>
                  <w:tcW w:w="1621" w:type="dxa"/>
                  <w:tcBorders>
                    <w:top w:val="single" w:sz="4" w:space="0" w:color="auto"/>
                    <w:left w:val="nil"/>
                    <w:bottom w:val="single" w:sz="4" w:space="0" w:color="auto"/>
                    <w:right w:val="single" w:sz="4" w:space="0" w:color="auto"/>
                  </w:tcBorders>
                  <w:shd w:val="clear" w:color="auto" w:fill="auto"/>
                  <w:vAlign w:val="center"/>
                </w:tcPr>
                <w:p w14:paraId="06E97D7B"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CO"/>
                    </w:rPr>
                    <w:t>64</w:t>
                  </w:r>
                </w:p>
              </w:tc>
            </w:tr>
            <w:tr w:rsidR="00FB0F67" w:rsidRPr="00B74FD3" w14:paraId="36BFFA93" w14:textId="77777777" w:rsidTr="007E4447">
              <w:trPr>
                <w:jc w:val="center"/>
              </w:trPr>
              <w:tc>
                <w:tcPr>
                  <w:tcW w:w="2032" w:type="dxa"/>
                  <w:vAlign w:val="center"/>
                </w:tcPr>
                <w:p w14:paraId="26E20BDE"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2024 - 2025</w:t>
                  </w:r>
                </w:p>
              </w:tc>
              <w:tc>
                <w:tcPr>
                  <w:tcW w:w="1658" w:type="dxa"/>
                  <w:vAlign w:val="center"/>
                </w:tcPr>
                <w:p w14:paraId="48EE1ADD"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2026</w:t>
                  </w:r>
                </w:p>
              </w:tc>
              <w:tc>
                <w:tcPr>
                  <w:tcW w:w="1838" w:type="dxa"/>
                  <w:vAlign w:val="center"/>
                </w:tcPr>
                <w:p w14:paraId="71897A9B"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2027</w:t>
                  </w:r>
                </w:p>
              </w:tc>
              <w:tc>
                <w:tcPr>
                  <w:tcW w:w="2076" w:type="dxa"/>
                  <w:vAlign w:val="center"/>
                </w:tcPr>
                <w:p w14:paraId="423182D8"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80</w:t>
                  </w:r>
                </w:p>
              </w:tc>
              <w:tc>
                <w:tcPr>
                  <w:tcW w:w="1621" w:type="dxa"/>
                  <w:tcBorders>
                    <w:top w:val="single" w:sz="4" w:space="0" w:color="auto"/>
                    <w:left w:val="nil"/>
                    <w:bottom w:val="single" w:sz="4" w:space="0" w:color="auto"/>
                    <w:right w:val="single" w:sz="4" w:space="0" w:color="auto"/>
                  </w:tcBorders>
                  <w:shd w:val="clear" w:color="auto" w:fill="auto"/>
                  <w:vAlign w:val="center"/>
                </w:tcPr>
                <w:p w14:paraId="00758019"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CO"/>
                    </w:rPr>
                    <w:t>64</w:t>
                  </w:r>
                </w:p>
              </w:tc>
            </w:tr>
            <w:tr w:rsidR="00FB0F67" w:rsidRPr="00B74FD3" w14:paraId="5D0A4065" w14:textId="77777777" w:rsidTr="007E4447">
              <w:trPr>
                <w:jc w:val="center"/>
              </w:trPr>
              <w:tc>
                <w:tcPr>
                  <w:tcW w:w="2032" w:type="dxa"/>
                  <w:vAlign w:val="center"/>
                </w:tcPr>
                <w:p w14:paraId="7DFCBBC8"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2025 - 2026</w:t>
                  </w:r>
                </w:p>
              </w:tc>
              <w:tc>
                <w:tcPr>
                  <w:tcW w:w="1658" w:type="dxa"/>
                  <w:vAlign w:val="center"/>
                </w:tcPr>
                <w:p w14:paraId="63BCDFEA"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2027</w:t>
                  </w:r>
                </w:p>
              </w:tc>
              <w:tc>
                <w:tcPr>
                  <w:tcW w:w="1838" w:type="dxa"/>
                  <w:vAlign w:val="center"/>
                </w:tcPr>
                <w:p w14:paraId="5FE70260"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2028</w:t>
                  </w:r>
                </w:p>
              </w:tc>
              <w:tc>
                <w:tcPr>
                  <w:tcW w:w="2076" w:type="dxa"/>
                  <w:vAlign w:val="center"/>
                </w:tcPr>
                <w:p w14:paraId="3C530C12" w14:textId="77777777" w:rsidR="00FB0F67" w:rsidRPr="00B74FD3" w:rsidRDefault="00FB0F67" w:rsidP="00FB0F67">
                  <w:pPr>
                    <w:jc w:val="center"/>
                    <w:rPr>
                      <w:rFonts w:ascii="Verdana" w:hAnsi="Verdana" w:cs="Arial"/>
                      <w:sz w:val="16"/>
                      <w:szCs w:val="16"/>
                      <w:lang w:val="es-CO"/>
                    </w:rPr>
                  </w:pPr>
                  <w:r w:rsidRPr="00B74FD3">
                    <w:rPr>
                      <w:rFonts w:ascii="Verdana" w:hAnsi="Verdana" w:cs="Arial"/>
                      <w:sz w:val="16"/>
                      <w:szCs w:val="16"/>
                      <w:lang w:val="es-CO"/>
                    </w:rPr>
                    <w:t>85</w:t>
                  </w:r>
                </w:p>
              </w:tc>
              <w:tc>
                <w:tcPr>
                  <w:tcW w:w="1621" w:type="dxa"/>
                  <w:tcBorders>
                    <w:top w:val="single" w:sz="4" w:space="0" w:color="auto"/>
                    <w:left w:val="nil"/>
                    <w:bottom w:val="single" w:sz="4" w:space="0" w:color="auto"/>
                    <w:right w:val="single" w:sz="4" w:space="0" w:color="auto"/>
                  </w:tcBorders>
                  <w:shd w:val="clear" w:color="auto" w:fill="auto"/>
                  <w:vAlign w:val="center"/>
                </w:tcPr>
                <w:p w14:paraId="5902D74B" w14:textId="77777777" w:rsidR="00FB0F67" w:rsidRPr="00FB0F67" w:rsidRDefault="00FB0F67" w:rsidP="00FB0F67">
                  <w:pPr>
                    <w:jc w:val="center"/>
                    <w:rPr>
                      <w:rFonts w:ascii="Verdana" w:hAnsi="Verdana" w:cs="Arial"/>
                      <w:b/>
                      <w:sz w:val="16"/>
                      <w:szCs w:val="16"/>
                      <w:lang w:val="es-CO"/>
                    </w:rPr>
                  </w:pPr>
                  <w:r w:rsidRPr="00FB0F67">
                    <w:rPr>
                      <w:rFonts w:ascii="Verdana" w:hAnsi="Verdana" w:cs="Arial"/>
                      <w:b/>
                      <w:sz w:val="16"/>
                      <w:szCs w:val="16"/>
                      <w:lang w:val="es-CO"/>
                    </w:rPr>
                    <w:t>68</w:t>
                  </w:r>
                </w:p>
              </w:tc>
            </w:tr>
            <w:bookmarkEnd w:id="2"/>
          </w:tbl>
          <w:p w14:paraId="6D554EF6" w14:textId="77777777" w:rsidR="00FB0F67" w:rsidRPr="00B74FD3" w:rsidRDefault="00FB0F67" w:rsidP="00FB0F67">
            <w:pPr>
              <w:jc w:val="both"/>
              <w:rPr>
                <w:rFonts w:ascii="Arial Narrow" w:eastAsia="Calibri" w:hAnsi="Arial Narrow"/>
                <w:kern w:val="2"/>
                <w:sz w:val="22"/>
                <w:szCs w:val="22"/>
                <w:lang w:val="es-CO" w:eastAsia="en-US"/>
                <w14:ligatures w14:val="standardContextual"/>
              </w:rPr>
            </w:pPr>
          </w:p>
          <w:p w14:paraId="7CC31F43" w14:textId="77777777" w:rsidR="00FB0F67" w:rsidRPr="00B74FD3" w:rsidRDefault="00FB0F67" w:rsidP="00FB0F67">
            <w:pPr>
              <w:jc w:val="both"/>
              <w:rPr>
                <w:rFonts w:ascii="Arial Narrow" w:eastAsia="Calibri" w:hAnsi="Arial Narrow" w:cs="Arial"/>
                <w:bCs/>
                <w:kern w:val="2"/>
                <w:sz w:val="22"/>
                <w:szCs w:val="22"/>
                <w:lang w:val="es-CO" w:eastAsia="en-US"/>
                <w14:ligatures w14:val="standardContextual"/>
              </w:rPr>
            </w:pPr>
            <w:r w:rsidRPr="00B74FD3">
              <w:rPr>
                <w:rFonts w:ascii="Arial Narrow" w:eastAsia="Calibri" w:hAnsi="Arial Narrow" w:cs="Arial"/>
                <w:b/>
                <w:kern w:val="2"/>
                <w:sz w:val="22"/>
                <w:szCs w:val="22"/>
                <w:lang w:val="es-CO" w:eastAsia="en-US"/>
                <w14:ligatures w14:val="standardContextual"/>
              </w:rPr>
              <w:t xml:space="preserve">13.2 Metas de recolección selectiva y gestión ambiental para llantas de bicicletas, motocicletas, motociclos, ciclomotores o </w:t>
            </w:r>
            <w:proofErr w:type="spellStart"/>
            <w:r w:rsidRPr="00B74FD3">
              <w:rPr>
                <w:rFonts w:ascii="Arial Narrow" w:eastAsia="Calibri" w:hAnsi="Arial Narrow" w:cs="Arial"/>
                <w:b/>
                <w:kern w:val="2"/>
                <w:sz w:val="22"/>
                <w:szCs w:val="22"/>
                <w:lang w:val="es-CO" w:eastAsia="en-US"/>
                <w14:ligatures w14:val="standardContextual"/>
              </w:rPr>
              <w:t>Moped</w:t>
            </w:r>
            <w:proofErr w:type="spellEnd"/>
            <w:r w:rsidRPr="00B74FD3">
              <w:rPr>
                <w:rFonts w:ascii="Arial Narrow" w:eastAsia="Calibri" w:hAnsi="Arial Narrow" w:cs="Arial"/>
                <w:b/>
                <w:kern w:val="2"/>
                <w:sz w:val="22"/>
                <w:szCs w:val="22"/>
                <w:lang w:val="es-CO" w:eastAsia="en-US"/>
                <w14:ligatures w14:val="standardContextual"/>
              </w:rPr>
              <w:t xml:space="preserve"> y llantas de vehículos fuera de carretera.</w:t>
            </w:r>
          </w:p>
          <w:p w14:paraId="64933CC2" w14:textId="77777777" w:rsidR="00FB0F67" w:rsidRPr="00B74FD3" w:rsidRDefault="00FB0F67" w:rsidP="00FB0F67">
            <w:pPr>
              <w:jc w:val="both"/>
              <w:rPr>
                <w:rFonts w:ascii="Arial Narrow" w:eastAsia="Calibri" w:hAnsi="Arial Narrow" w:cs="Arial"/>
                <w:bCs/>
                <w:kern w:val="2"/>
                <w:sz w:val="22"/>
                <w:szCs w:val="22"/>
                <w:lang w:val="es-CO" w:eastAsia="en-US"/>
                <w14:ligatures w14:val="standardContextual"/>
              </w:rPr>
            </w:pPr>
          </w:p>
          <w:p w14:paraId="7F8EBC35" w14:textId="77777777" w:rsidR="00FB0F67" w:rsidRPr="00B74FD3" w:rsidRDefault="00FB0F67" w:rsidP="00FB0F67">
            <w:pPr>
              <w:jc w:val="center"/>
              <w:rPr>
                <w:rFonts w:ascii="Arial Narrow" w:eastAsia="Calibri" w:hAnsi="Arial Narrow" w:cs="Arial"/>
                <w:bCs/>
                <w:kern w:val="2"/>
                <w:sz w:val="22"/>
                <w:szCs w:val="22"/>
                <w:lang w:val="es-CO" w:eastAsia="en-US"/>
                <w14:ligatures w14:val="standardContextual"/>
              </w:rPr>
            </w:pPr>
            <w:r w:rsidRPr="00B74FD3">
              <w:rPr>
                <w:rFonts w:ascii="Arial Narrow" w:eastAsia="Calibri" w:hAnsi="Arial Narrow" w:cs="Arial"/>
                <w:b/>
                <w:kern w:val="2"/>
                <w:sz w:val="22"/>
                <w:szCs w:val="22"/>
                <w:lang w:val="es-CO" w:eastAsia="en-US"/>
                <w14:ligatures w14:val="standardContextual"/>
              </w:rPr>
              <w:t>Tabla 4.</w:t>
            </w:r>
            <w:r w:rsidRPr="00B74FD3">
              <w:rPr>
                <w:rFonts w:ascii="Arial Narrow" w:eastAsia="Calibri" w:hAnsi="Arial Narrow" w:cs="Arial"/>
                <w:bCs/>
                <w:kern w:val="2"/>
                <w:sz w:val="22"/>
                <w:szCs w:val="22"/>
                <w:lang w:val="es-CO" w:eastAsia="en-US"/>
                <w14:ligatures w14:val="standardContextual"/>
              </w:rPr>
              <w:t xml:space="preserve"> Metas de recolección selectiva y gestión ambiental de llantas usadas de bicicletas, motocicletas, motociclos, ciclomotores o </w:t>
            </w:r>
            <w:proofErr w:type="spellStart"/>
            <w:r w:rsidRPr="00B74FD3">
              <w:rPr>
                <w:rFonts w:ascii="Arial Narrow" w:eastAsia="Calibri" w:hAnsi="Arial Narrow" w:cs="Arial"/>
                <w:bCs/>
                <w:kern w:val="2"/>
                <w:sz w:val="22"/>
                <w:szCs w:val="22"/>
                <w:lang w:val="es-CO" w:eastAsia="en-US"/>
                <w14:ligatures w14:val="standardContextual"/>
              </w:rPr>
              <w:t>Moped</w:t>
            </w:r>
            <w:proofErr w:type="spellEnd"/>
            <w:r w:rsidRPr="00B74FD3">
              <w:rPr>
                <w:rFonts w:ascii="Arial Narrow" w:eastAsia="Calibri" w:hAnsi="Arial Narrow" w:cs="Arial"/>
                <w:bCs/>
                <w:kern w:val="2"/>
                <w:sz w:val="22"/>
                <w:szCs w:val="22"/>
                <w:lang w:val="es-CO" w:eastAsia="en-US"/>
                <w14:ligatures w14:val="standardContextual"/>
              </w:rPr>
              <w:t xml:space="preserve"> y llantas de vehículos fuera de carretera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4"/>
              <w:gridCol w:w="1946"/>
              <w:gridCol w:w="2021"/>
              <w:gridCol w:w="1946"/>
              <w:gridCol w:w="1488"/>
            </w:tblGrid>
            <w:tr w:rsidR="00FB0F67" w:rsidRPr="00B74FD3" w14:paraId="72128EEC" w14:textId="77777777" w:rsidTr="006D5B7C">
              <w:trPr>
                <w:trHeight w:val="1167"/>
                <w:tblHeader/>
                <w:jc w:val="center"/>
              </w:trPr>
              <w:tc>
                <w:tcPr>
                  <w:tcW w:w="1824" w:type="dxa"/>
                  <w:vAlign w:val="center"/>
                  <w:hideMark/>
                </w:tcPr>
                <w:p w14:paraId="21D74660" w14:textId="77777777" w:rsidR="00FB0F67" w:rsidRPr="00B74FD3" w:rsidRDefault="00FB0F67" w:rsidP="00FB0F67">
                  <w:pPr>
                    <w:jc w:val="center"/>
                    <w:rPr>
                      <w:rFonts w:ascii="Verdana" w:eastAsia="Calibri" w:hAnsi="Verdana" w:cs="Arial"/>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Periodo base para el cálculo de la meta (años fiscales)</w:t>
                  </w:r>
                </w:p>
              </w:tc>
              <w:tc>
                <w:tcPr>
                  <w:tcW w:w="1946" w:type="dxa"/>
                  <w:vAlign w:val="center"/>
                  <w:hideMark/>
                </w:tcPr>
                <w:p w14:paraId="5AB393EF"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Periodo de recolección (año fiscal)</w:t>
                  </w:r>
                </w:p>
              </w:tc>
              <w:tc>
                <w:tcPr>
                  <w:tcW w:w="2021" w:type="dxa"/>
                  <w:vAlign w:val="center"/>
                  <w:hideMark/>
                </w:tcPr>
                <w:p w14:paraId="363F2778"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Año de presentación de informe de actualización y avances</w:t>
                  </w:r>
                </w:p>
              </w:tc>
              <w:tc>
                <w:tcPr>
                  <w:tcW w:w="1946" w:type="dxa"/>
                  <w:vAlign w:val="center"/>
                  <w:hideMark/>
                </w:tcPr>
                <w:p w14:paraId="2FD9F2CC"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bookmarkStart w:id="3" w:name="_Hlk219978804"/>
                  <w:r w:rsidRPr="00B74FD3">
                    <w:rPr>
                      <w:rFonts w:ascii="Verdana" w:eastAsia="Calibri" w:hAnsi="Verdana" w:cs="Arial"/>
                      <w:kern w:val="2"/>
                      <w:sz w:val="16"/>
                      <w:szCs w:val="16"/>
                      <w:lang w:val="es-CO" w:eastAsia="en-US"/>
                      <w14:ligatures w14:val="standardContextual"/>
                    </w:rPr>
                    <w:t xml:space="preserve">Meta mínima de recolección y gestión ambiental de llantas usadas para unidades </w:t>
                  </w:r>
                  <w:bookmarkEnd w:id="3"/>
                  <w:r w:rsidRPr="00B74FD3">
                    <w:rPr>
                      <w:rFonts w:ascii="Verdana" w:eastAsia="Calibri" w:hAnsi="Verdana" w:cs="Arial"/>
                      <w:kern w:val="2"/>
                      <w:sz w:val="16"/>
                      <w:szCs w:val="16"/>
                      <w:lang w:val="es-CO" w:eastAsia="en-US"/>
                      <w14:ligatures w14:val="standardContextual"/>
                    </w:rPr>
                    <w:t>(%)</w:t>
                  </w:r>
                </w:p>
              </w:tc>
              <w:tc>
                <w:tcPr>
                  <w:tcW w:w="1488" w:type="dxa"/>
                  <w:tcBorders>
                    <w:bottom w:val="single" w:sz="4" w:space="0" w:color="auto"/>
                  </w:tcBorders>
                </w:tcPr>
                <w:p w14:paraId="57444B88" w14:textId="77777777" w:rsidR="00FB0F67" w:rsidRPr="00FB0F67" w:rsidRDefault="00FB0F67" w:rsidP="00FB0F67">
                  <w:pPr>
                    <w:jc w:val="center"/>
                    <w:rPr>
                      <w:rFonts w:ascii="Verdana" w:eastAsia="Calibri" w:hAnsi="Verdana" w:cs="Arial"/>
                      <w:b/>
                      <w:kern w:val="2"/>
                      <w:sz w:val="16"/>
                      <w:szCs w:val="16"/>
                      <w:lang w:val="es-CO" w:eastAsia="en-US"/>
                      <w14:ligatures w14:val="standardContextual"/>
                    </w:rPr>
                  </w:pPr>
                  <w:r w:rsidRPr="00FB0F67">
                    <w:rPr>
                      <w:rFonts w:ascii="Verdana" w:eastAsia="Calibri" w:hAnsi="Verdana" w:cs="Arial"/>
                      <w:b/>
                      <w:kern w:val="2"/>
                      <w:sz w:val="16"/>
                      <w:szCs w:val="16"/>
                      <w:lang w:val="es-CO" w:eastAsia="en-US"/>
                      <w14:ligatures w14:val="standardContextual"/>
                    </w:rPr>
                    <w:t>Meta mínima de recolección y gestión ambiental de llantas usadas para peso (%)</w:t>
                  </w:r>
                </w:p>
              </w:tc>
            </w:tr>
            <w:tr w:rsidR="00FB0F67" w:rsidRPr="00B74FD3" w14:paraId="495001C5" w14:textId="77777777" w:rsidTr="007E4447">
              <w:trPr>
                <w:trHeight w:val="278"/>
                <w:jc w:val="center"/>
              </w:trPr>
              <w:tc>
                <w:tcPr>
                  <w:tcW w:w="1824" w:type="dxa"/>
                  <w:vAlign w:val="center"/>
                  <w:hideMark/>
                </w:tcPr>
                <w:p w14:paraId="4D01F0DD"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2017 – 2018</w:t>
                  </w:r>
                </w:p>
              </w:tc>
              <w:tc>
                <w:tcPr>
                  <w:tcW w:w="1946" w:type="dxa"/>
                  <w:vAlign w:val="center"/>
                  <w:hideMark/>
                </w:tcPr>
                <w:p w14:paraId="5E82354F"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2019</w:t>
                  </w:r>
                </w:p>
              </w:tc>
              <w:tc>
                <w:tcPr>
                  <w:tcW w:w="2021" w:type="dxa"/>
                  <w:vAlign w:val="center"/>
                  <w:hideMark/>
                </w:tcPr>
                <w:p w14:paraId="44440E89"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2020</w:t>
                  </w:r>
                </w:p>
              </w:tc>
              <w:tc>
                <w:tcPr>
                  <w:tcW w:w="1946" w:type="dxa"/>
                  <w:tcBorders>
                    <w:right w:val="single" w:sz="4" w:space="0" w:color="auto"/>
                  </w:tcBorders>
                  <w:vAlign w:val="center"/>
                  <w:hideMark/>
                </w:tcPr>
                <w:p w14:paraId="01EE7AC2"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34E827EA"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16</w:t>
                  </w:r>
                </w:p>
              </w:tc>
            </w:tr>
            <w:tr w:rsidR="00FB0F67" w:rsidRPr="00B74FD3" w14:paraId="250B8D52" w14:textId="77777777" w:rsidTr="007E4447">
              <w:trPr>
                <w:jc w:val="center"/>
              </w:trPr>
              <w:tc>
                <w:tcPr>
                  <w:tcW w:w="1824" w:type="dxa"/>
                  <w:vAlign w:val="center"/>
                  <w:hideMark/>
                </w:tcPr>
                <w:p w14:paraId="1D60B12B"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2018 – 2019</w:t>
                  </w:r>
                </w:p>
              </w:tc>
              <w:tc>
                <w:tcPr>
                  <w:tcW w:w="1946" w:type="dxa"/>
                  <w:vAlign w:val="center"/>
                  <w:hideMark/>
                </w:tcPr>
                <w:p w14:paraId="217986DB"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2020</w:t>
                  </w:r>
                </w:p>
              </w:tc>
              <w:tc>
                <w:tcPr>
                  <w:tcW w:w="2021" w:type="dxa"/>
                  <w:vAlign w:val="center"/>
                  <w:hideMark/>
                </w:tcPr>
                <w:p w14:paraId="4E3736EE"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2021</w:t>
                  </w:r>
                </w:p>
              </w:tc>
              <w:tc>
                <w:tcPr>
                  <w:tcW w:w="1946" w:type="dxa"/>
                  <w:tcBorders>
                    <w:right w:val="single" w:sz="4" w:space="0" w:color="auto"/>
                  </w:tcBorders>
                  <w:vAlign w:val="center"/>
                  <w:hideMark/>
                </w:tcPr>
                <w:p w14:paraId="37432B38"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26DDC642"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20</w:t>
                  </w:r>
                </w:p>
              </w:tc>
            </w:tr>
            <w:tr w:rsidR="00FB0F67" w:rsidRPr="00B74FD3" w14:paraId="556E8AAF" w14:textId="77777777" w:rsidTr="007E4447">
              <w:trPr>
                <w:jc w:val="center"/>
              </w:trPr>
              <w:tc>
                <w:tcPr>
                  <w:tcW w:w="1824" w:type="dxa"/>
                  <w:vAlign w:val="center"/>
                  <w:hideMark/>
                </w:tcPr>
                <w:p w14:paraId="4739573C"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2019 – 2020</w:t>
                  </w:r>
                </w:p>
              </w:tc>
              <w:tc>
                <w:tcPr>
                  <w:tcW w:w="1946" w:type="dxa"/>
                  <w:vAlign w:val="center"/>
                  <w:hideMark/>
                </w:tcPr>
                <w:p w14:paraId="7DD46778"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2021</w:t>
                  </w:r>
                </w:p>
              </w:tc>
              <w:tc>
                <w:tcPr>
                  <w:tcW w:w="2021" w:type="dxa"/>
                  <w:vAlign w:val="center"/>
                  <w:hideMark/>
                </w:tcPr>
                <w:p w14:paraId="58925C28"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2022</w:t>
                  </w:r>
                </w:p>
              </w:tc>
              <w:tc>
                <w:tcPr>
                  <w:tcW w:w="1946" w:type="dxa"/>
                  <w:tcBorders>
                    <w:right w:val="single" w:sz="4" w:space="0" w:color="auto"/>
                  </w:tcBorders>
                  <w:vAlign w:val="center"/>
                  <w:hideMark/>
                </w:tcPr>
                <w:p w14:paraId="01E64439"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30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79D40270"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24</w:t>
                  </w:r>
                </w:p>
              </w:tc>
            </w:tr>
            <w:tr w:rsidR="00FB0F67" w:rsidRPr="00B74FD3" w14:paraId="3FC4A69D" w14:textId="77777777" w:rsidTr="007E4447">
              <w:trPr>
                <w:jc w:val="center"/>
              </w:trPr>
              <w:tc>
                <w:tcPr>
                  <w:tcW w:w="1824" w:type="dxa"/>
                  <w:vAlign w:val="center"/>
                  <w:hideMark/>
                </w:tcPr>
                <w:p w14:paraId="0CCB400E"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2020 – 2021</w:t>
                  </w:r>
                </w:p>
              </w:tc>
              <w:tc>
                <w:tcPr>
                  <w:tcW w:w="1946" w:type="dxa"/>
                  <w:vAlign w:val="center"/>
                  <w:hideMark/>
                </w:tcPr>
                <w:p w14:paraId="6C6522D0"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2022</w:t>
                  </w:r>
                </w:p>
              </w:tc>
              <w:tc>
                <w:tcPr>
                  <w:tcW w:w="2021" w:type="dxa"/>
                  <w:vAlign w:val="center"/>
                  <w:hideMark/>
                </w:tcPr>
                <w:p w14:paraId="7EF57B92"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2023</w:t>
                  </w:r>
                </w:p>
              </w:tc>
              <w:tc>
                <w:tcPr>
                  <w:tcW w:w="1946" w:type="dxa"/>
                  <w:tcBorders>
                    <w:right w:val="single" w:sz="4" w:space="0" w:color="auto"/>
                  </w:tcBorders>
                  <w:vAlign w:val="center"/>
                  <w:hideMark/>
                </w:tcPr>
                <w:p w14:paraId="2A92938A"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35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5432E694"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28</w:t>
                  </w:r>
                </w:p>
              </w:tc>
            </w:tr>
            <w:tr w:rsidR="00FB0F67" w:rsidRPr="00B74FD3" w14:paraId="6EC76155" w14:textId="77777777" w:rsidTr="007E4447">
              <w:trPr>
                <w:jc w:val="center"/>
              </w:trPr>
              <w:tc>
                <w:tcPr>
                  <w:tcW w:w="1824" w:type="dxa"/>
                  <w:vAlign w:val="center"/>
                  <w:hideMark/>
                </w:tcPr>
                <w:p w14:paraId="7638AF9F"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lastRenderedPageBreak/>
                    <w:t>2021 – 2022</w:t>
                  </w:r>
                </w:p>
              </w:tc>
              <w:tc>
                <w:tcPr>
                  <w:tcW w:w="1946" w:type="dxa"/>
                  <w:vAlign w:val="center"/>
                  <w:hideMark/>
                </w:tcPr>
                <w:p w14:paraId="77B657C0"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2023</w:t>
                  </w:r>
                </w:p>
              </w:tc>
              <w:tc>
                <w:tcPr>
                  <w:tcW w:w="2021" w:type="dxa"/>
                  <w:vAlign w:val="center"/>
                  <w:hideMark/>
                </w:tcPr>
                <w:p w14:paraId="29515DA8"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2024</w:t>
                  </w:r>
                </w:p>
              </w:tc>
              <w:tc>
                <w:tcPr>
                  <w:tcW w:w="1946" w:type="dxa"/>
                  <w:tcBorders>
                    <w:right w:val="single" w:sz="4" w:space="0" w:color="auto"/>
                  </w:tcBorders>
                  <w:vAlign w:val="center"/>
                  <w:hideMark/>
                </w:tcPr>
                <w:p w14:paraId="3182C814"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40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1427D23"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32</w:t>
                  </w:r>
                </w:p>
              </w:tc>
            </w:tr>
            <w:tr w:rsidR="00FB0F67" w:rsidRPr="00B74FD3" w14:paraId="508B2BB9" w14:textId="77777777" w:rsidTr="007E4447">
              <w:trPr>
                <w:jc w:val="center"/>
              </w:trPr>
              <w:tc>
                <w:tcPr>
                  <w:tcW w:w="1824" w:type="dxa"/>
                  <w:vAlign w:val="center"/>
                  <w:hideMark/>
                </w:tcPr>
                <w:p w14:paraId="71EDEDDE"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2022 – 2023</w:t>
                  </w:r>
                </w:p>
              </w:tc>
              <w:tc>
                <w:tcPr>
                  <w:tcW w:w="1946" w:type="dxa"/>
                  <w:vAlign w:val="center"/>
                  <w:hideMark/>
                </w:tcPr>
                <w:p w14:paraId="4FCB49EB"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2024</w:t>
                  </w:r>
                </w:p>
              </w:tc>
              <w:tc>
                <w:tcPr>
                  <w:tcW w:w="2021" w:type="dxa"/>
                  <w:vAlign w:val="center"/>
                  <w:hideMark/>
                </w:tcPr>
                <w:p w14:paraId="44DFA858"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2025</w:t>
                  </w:r>
                </w:p>
              </w:tc>
              <w:tc>
                <w:tcPr>
                  <w:tcW w:w="1946" w:type="dxa"/>
                  <w:tcBorders>
                    <w:right w:val="single" w:sz="4" w:space="0" w:color="auto"/>
                  </w:tcBorders>
                  <w:vAlign w:val="center"/>
                  <w:hideMark/>
                </w:tcPr>
                <w:p w14:paraId="534A07FE"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45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5A2174D0"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36</w:t>
                  </w:r>
                </w:p>
              </w:tc>
            </w:tr>
            <w:tr w:rsidR="00FB0F67" w:rsidRPr="00B74FD3" w14:paraId="1919C7D6" w14:textId="77777777" w:rsidTr="007E4447">
              <w:trPr>
                <w:jc w:val="center"/>
              </w:trPr>
              <w:tc>
                <w:tcPr>
                  <w:tcW w:w="1824" w:type="dxa"/>
                  <w:vAlign w:val="center"/>
                  <w:hideMark/>
                </w:tcPr>
                <w:p w14:paraId="06194216"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2023 – 2024</w:t>
                  </w:r>
                </w:p>
              </w:tc>
              <w:tc>
                <w:tcPr>
                  <w:tcW w:w="1946" w:type="dxa"/>
                  <w:vAlign w:val="center"/>
                  <w:hideMark/>
                </w:tcPr>
                <w:p w14:paraId="1208EC5C"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2025</w:t>
                  </w:r>
                </w:p>
              </w:tc>
              <w:tc>
                <w:tcPr>
                  <w:tcW w:w="2021" w:type="dxa"/>
                  <w:vAlign w:val="center"/>
                  <w:hideMark/>
                </w:tcPr>
                <w:p w14:paraId="7B6038E5"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2026</w:t>
                  </w:r>
                </w:p>
              </w:tc>
              <w:tc>
                <w:tcPr>
                  <w:tcW w:w="1946" w:type="dxa"/>
                  <w:tcBorders>
                    <w:right w:val="single" w:sz="4" w:space="0" w:color="auto"/>
                  </w:tcBorders>
                  <w:vAlign w:val="center"/>
                  <w:hideMark/>
                </w:tcPr>
                <w:p w14:paraId="3573A13A"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50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2FFD079C"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40</w:t>
                  </w:r>
                </w:p>
              </w:tc>
            </w:tr>
            <w:tr w:rsidR="00FB0F67" w:rsidRPr="00B74FD3" w14:paraId="786406D3" w14:textId="77777777" w:rsidTr="007E4447">
              <w:trPr>
                <w:jc w:val="center"/>
              </w:trPr>
              <w:tc>
                <w:tcPr>
                  <w:tcW w:w="1824" w:type="dxa"/>
                  <w:vAlign w:val="center"/>
                  <w:hideMark/>
                </w:tcPr>
                <w:p w14:paraId="0D142042"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2024 – 2025</w:t>
                  </w:r>
                </w:p>
              </w:tc>
              <w:tc>
                <w:tcPr>
                  <w:tcW w:w="1946" w:type="dxa"/>
                  <w:vAlign w:val="center"/>
                  <w:hideMark/>
                </w:tcPr>
                <w:p w14:paraId="58262A57"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2026</w:t>
                  </w:r>
                </w:p>
              </w:tc>
              <w:tc>
                <w:tcPr>
                  <w:tcW w:w="2021" w:type="dxa"/>
                  <w:vAlign w:val="center"/>
                  <w:hideMark/>
                </w:tcPr>
                <w:p w14:paraId="4B332572"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2027</w:t>
                  </w:r>
                </w:p>
              </w:tc>
              <w:tc>
                <w:tcPr>
                  <w:tcW w:w="1946" w:type="dxa"/>
                  <w:tcBorders>
                    <w:right w:val="single" w:sz="4" w:space="0" w:color="auto"/>
                  </w:tcBorders>
                  <w:vAlign w:val="center"/>
                  <w:hideMark/>
                </w:tcPr>
                <w:p w14:paraId="04305817"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55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DB01D62"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44</w:t>
                  </w:r>
                </w:p>
              </w:tc>
            </w:tr>
            <w:tr w:rsidR="00FB0F67" w:rsidRPr="00B74FD3" w14:paraId="3AE6F87E" w14:textId="77777777" w:rsidTr="007E4447">
              <w:trPr>
                <w:jc w:val="center"/>
              </w:trPr>
              <w:tc>
                <w:tcPr>
                  <w:tcW w:w="1824" w:type="dxa"/>
                  <w:vAlign w:val="center"/>
                  <w:hideMark/>
                </w:tcPr>
                <w:p w14:paraId="3066BEC5"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2025 – 2026</w:t>
                  </w:r>
                </w:p>
              </w:tc>
              <w:tc>
                <w:tcPr>
                  <w:tcW w:w="1946" w:type="dxa"/>
                  <w:vAlign w:val="center"/>
                  <w:hideMark/>
                </w:tcPr>
                <w:p w14:paraId="70B1579E"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2027</w:t>
                  </w:r>
                </w:p>
              </w:tc>
              <w:tc>
                <w:tcPr>
                  <w:tcW w:w="2021" w:type="dxa"/>
                  <w:vAlign w:val="center"/>
                  <w:hideMark/>
                </w:tcPr>
                <w:p w14:paraId="5E7B303F"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2028</w:t>
                  </w:r>
                </w:p>
              </w:tc>
              <w:tc>
                <w:tcPr>
                  <w:tcW w:w="1946" w:type="dxa"/>
                  <w:tcBorders>
                    <w:right w:val="single" w:sz="4" w:space="0" w:color="auto"/>
                  </w:tcBorders>
                  <w:vAlign w:val="center"/>
                  <w:hideMark/>
                </w:tcPr>
                <w:p w14:paraId="36F6D7CC"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60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36C19111"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48</w:t>
                  </w:r>
                </w:p>
              </w:tc>
            </w:tr>
            <w:tr w:rsidR="00FB0F67" w:rsidRPr="00B74FD3" w14:paraId="66C640BD" w14:textId="77777777" w:rsidTr="007E4447">
              <w:trPr>
                <w:jc w:val="center"/>
              </w:trPr>
              <w:tc>
                <w:tcPr>
                  <w:tcW w:w="1824" w:type="dxa"/>
                  <w:vAlign w:val="center"/>
                  <w:hideMark/>
                </w:tcPr>
                <w:p w14:paraId="49D7BFE8"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2026 – 2027</w:t>
                  </w:r>
                </w:p>
              </w:tc>
              <w:tc>
                <w:tcPr>
                  <w:tcW w:w="1946" w:type="dxa"/>
                  <w:vAlign w:val="center"/>
                  <w:hideMark/>
                </w:tcPr>
                <w:p w14:paraId="74EA01B7"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2028</w:t>
                  </w:r>
                </w:p>
              </w:tc>
              <w:tc>
                <w:tcPr>
                  <w:tcW w:w="2021" w:type="dxa"/>
                  <w:vAlign w:val="center"/>
                  <w:hideMark/>
                </w:tcPr>
                <w:p w14:paraId="5050D2E6"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2029</w:t>
                  </w:r>
                </w:p>
              </w:tc>
              <w:tc>
                <w:tcPr>
                  <w:tcW w:w="1946" w:type="dxa"/>
                  <w:tcBorders>
                    <w:right w:val="single" w:sz="4" w:space="0" w:color="auto"/>
                  </w:tcBorders>
                  <w:vAlign w:val="center"/>
                  <w:hideMark/>
                </w:tcPr>
                <w:p w14:paraId="47B7A07D"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65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A94BA91"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52</w:t>
                  </w:r>
                </w:p>
              </w:tc>
            </w:tr>
            <w:tr w:rsidR="00FB0F67" w:rsidRPr="00B74FD3" w14:paraId="2D6AC133" w14:textId="77777777" w:rsidTr="007E4447">
              <w:trPr>
                <w:jc w:val="center"/>
              </w:trPr>
              <w:tc>
                <w:tcPr>
                  <w:tcW w:w="1824" w:type="dxa"/>
                  <w:vAlign w:val="center"/>
                  <w:hideMark/>
                </w:tcPr>
                <w:p w14:paraId="5EAE7A5C"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2027 – 2028</w:t>
                  </w:r>
                </w:p>
              </w:tc>
              <w:tc>
                <w:tcPr>
                  <w:tcW w:w="1946" w:type="dxa"/>
                  <w:vAlign w:val="center"/>
                  <w:hideMark/>
                </w:tcPr>
                <w:p w14:paraId="6699043F"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2029</w:t>
                  </w:r>
                </w:p>
              </w:tc>
              <w:tc>
                <w:tcPr>
                  <w:tcW w:w="2021" w:type="dxa"/>
                  <w:vAlign w:val="center"/>
                  <w:hideMark/>
                </w:tcPr>
                <w:p w14:paraId="1744C326"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2030</w:t>
                  </w:r>
                </w:p>
              </w:tc>
              <w:tc>
                <w:tcPr>
                  <w:tcW w:w="1946" w:type="dxa"/>
                  <w:tcBorders>
                    <w:right w:val="single" w:sz="4" w:space="0" w:color="auto"/>
                  </w:tcBorders>
                  <w:vAlign w:val="center"/>
                  <w:hideMark/>
                </w:tcPr>
                <w:p w14:paraId="43FF4F9D"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70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349E0677"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56</w:t>
                  </w:r>
                </w:p>
              </w:tc>
            </w:tr>
            <w:tr w:rsidR="00FB0F67" w:rsidRPr="00B74FD3" w14:paraId="38A99F96" w14:textId="77777777" w:rsidTr="007E4447">
              <w:trPr>
                <w:jc w:val="center"/>
              </w:trPr>
              <w:tc>
                <w:tcPr>
                  <w:tcW w:w="1824" w:type="dxa"/>
                  <w:vAlign w:val="center"/>
                  <w:hideMark/>
                </w:tcPr>
                <w:p w14:paraId="73827D51"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2028 – 2029</w:t>
                  </w:r>
                </w:p>
              </w:tc>
              <w:tc>
                <w:tcPr>
                  <w:tcW w:w="1946" w:type="dxa"/>
                  <w:vAlign w:val="center"/>
                  <w:hideMark/>
                </w:tcPr>
                <w:p w14:paraId="700E8AAD"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2030</w:t>
                  </w:r>
                </w:p>
              </w:tc>
              <w:tc>
                <w:tcPr>
                  <w:tcW w:w="2021" w:type="dxa"/>
                  <w:vAlign w:val="center"/>
                  <w:hideMark/>
                </w:tcPr>
                <w:p w14:paraId="78EB1198"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2031</w:t>
                  </w:r>
                </w:p>
              </w:tc>
              <w:tc>
                <w:tcPr>
                  <w:tcW w:w="1946" w:type="dxa"/>
                  <w:tcBorders>
                    <w:right w:val="single" w:sz="4" w:space="0" w:color="auto"/>
                  </w:tcBorders>
                  <w:vAlign w:val="center"/>
                  <w:hideMark/>
                </w:tcPr>
                <w:p w14:paraId="6D0EF312"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75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718FE74E"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60</w:t>
                  </w:r>
                </w:p>
              </w:tc>
            </w:tr>
            <w:tr w:rsidR="00FB0F67" w:rsidRPr="00B74FD3" w14:paraId="083C23F9" w14:textId="77777777" w:rsidTr="007E4447">
              <w:trPr>
                <w:jc w:val="center"/>
              </w:trPr>
              <w:tc>
                <w:tcPr>
                  <w:tcW w:w="1824" w:type="dxa"/>
                  <w:vAlign w:val="center"/>
                  <w:hideMark/>
                </w:tcPr>
                <w:p w14:paraId="5E5C07E5"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2029 – 2030</w:t>
                  </w:r>
                </w:p>
              </w:tc>
              <w:tc>
                <w:tcPr>
                  <w:tcW w:w="1946" w:type="dxa"/>
                  <w:vAlign w:val="center"/>
                  <w:hideMark/>
                </w:tcPr>
                <w:p w14:paraId="0BA7C432"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2031</w:t>
                  </w:r>
                </w:p>
              </w:tc>
              <w:tc>
                <w:tcPr>
                  <w:tcW w:w="2021" w:type="dxa"/>
                  <w:vAlign w:val="center"/>
                  <w:hideMark/>
                </w:tcPr>
                <w:p w14:paraId="3E1E6A23"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2032</w:t>
                  </w:r>
                </w:p>
              </w:tc>
              <w:tc>
                <w:tcPr>
                  <w:tcW w:w="1946" w:type="dxa"/>
                  <w:tcBorders>
                    <w:right w:val="single" w:sz="4" w:space="0" w:color="auto"/>
                  </w:tcBorders>
                  <w:vAlign w:val="center"/>
                  <w:hideMark/>
                </w:tcPr>
                <w:p w14:paraId="2FDA8E7E"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80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E994014"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64</w:t>
                  </w:r>
                </w:p>
              </w:tc>
            </w:tr>
            <w:tr w:rsidR="00FB0F67" w:rsidRPr="00B74FD3" w14:paraId="13DF4248" w14:textId="77777777" w:rsidTr="007E4447">
              <w:trPr>
                <w:jc w:val="center"/>
              </w:trPr>
              <w:tc>
                <w:tcPr>
                  <w:tcW w:w="1824" w:type="dxa"/>
                  <w:vAlign w:val="center"/>
                </w:tcPr>
                <w:p w14:paraId="063CBFBB"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2030 - 2031</w:t>
                  </w:r>
                </w:p>
              </w:tc>
              <w:tc>
                <w:tcPr>
                  <w:tcW w:w="1946" w:type="dxa"/>
                  <w:vAlign w:val="center"/>
                </w:tcPr>
                <w:p w14:paraId="63942C38"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2032</w:t>
                  </w:r>
                </w:p>
              </w:tc>
              <w:tc>
                <w:tcPr>
                  <w:tcW w:w="2021" w:type="dxa"/>
                  <w:vAlign w:val="center"/>
                </w:tcPr>
                <w:p w14:paraId="46713E87"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2033</w:t>
                  </w:r>
                </w:p>
              </w:tc>
              <w:tc>
                <w:tcPr>
                  <w:tcW w:w="1946" w:type="dxa"/>
                  <w:tcBorders>
                    <w:right w:val="single" w:sz="4" w:space="0" w:color="auto"/>
                  </w:tcBorders>
                  <w:vAlign w:val="center"/>
                </w:tcPr>
                <w:p w14:paraId="0178A740" w14:textId="77777777" w:rsidR="00FB0F67" w:rsidRPr="00B74FD3" w:rsidRDefault="00FB0F67" w:rsidP="00FB0F67">
                  <w:pPr>
                    <w:jc w:val="center"/>
                    <w:rPr>
                      <w:rFonts w:ascii="Verdana" w:eastAsia="Calibri" w:hAnsi="Verdana" w:cs="Arial"/>
                      <w:kern w:val="2"/>
                      <w:sz w:val="16"/>
                      <w:szCs w:val="16"/>
                      <w:lang w:val="es-CO" w:eastAsia="en-US"/>
                      <w14:ligatures w14:val="standardContextual"/>
                    </w:rPr>
                  </w:pPr>
                  <w:r w:rsidRPr="00B74FD3">
                    <w:rPr>
                      <w:rFonts w:ascii="Verdana" w:eastAsia="Calibri" w:hAnsi="Verdana" w:cs="Arial"/>
                      <w:kern w:val="2"/>
                      <w:sz w:val="16"/>
                      <w:szCs w:val="16"/>
                      <w:lang w:val="es-CO" w:eastAsia="en-US"/>
                      <w14:ligatures w14:val="standardContextual"/>
                    </w:rPr>
                    <w:t>85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CB4EC70" w14:textId="77777777" w:rsidR="00FB0F67" w:rsidRPr="00FB0F67" w:rsidRDefault="00FB0F67" w:rsidP="00FB0F67">
                  <w:pPr>
                    <w:jc w:val="center"/>
                    <w:rPr>
                      <w:rFonts w:ascii="Verdana" w:eastAsia="Calibri" w:hAnsi="Verdana" w:cs="Arial"/>
                      <w:b/>
                      <w:bCs/>
                      <w:kern w:val="2"/>
                      <w:sz w:val="16"/>
                      <w:szCs w:val="16"/>
                      <w:lang w:val="es-CO" w:eastAsia="en-US"/>
                      <w14:ligatures w14:val="standardContextual"/>
                    </w:rPr>
                  </w:pPr>
                  <w:r w:rsidRPr="00FB0F67">
                    <w:rPr>
                      <w:rFonts w:ascii="Verdana" w:eastAsia="Calibri" w:hAnsi="Verdana" w:cs="Calibri"/>
                      <w:b/>
                      <w:bCs/>
                      <w:color w:val="000000"/>
                      <w:kern w:val="2"/>
                      <w:sz w:val="16"/>
                      <w:szCs w:val="16"/>
                      <w:lang w:val="es-CO" w:eastAsia="en-US"/>
                      <w14:ligatures w14:val="standardContextual"/>
                    </w:rPr>
                    <w:t>68</w:t>
                  </w:r>
                </w:p>
              </w:tc>
            </w:tr>
          </w:tbl>
          <w:p w14:paraId="0E68AFA7" w14:textId="77777777" w:rsidR="00FB0F67" w:rsidRDefault="00FB0F67" w:rsidP="00FB0F67">
            <w:pPr>
              <w:pStyle w:val="paragraph"/>
              <w:spacing w:before="0" w:beforeAutospacing="0" w:after="0" w:afterAutospacing="0"/>
              <w:ind w:left="357"/>
              <w:jc w:val="both"/>
              <w:textAlignment w:val="baseline"/>
              <w:rPr>
                <w:rStyle w:val="normaltextrun"/>
                <w:rFonts w:ascii="Arial Narrow" w:hAnsi="Arial Narrow" w:cs="Segoe UI"/>
                <w:sz w:val="22"/>
                <w:szCs w:val="22"/>
              </w:rPr>
            </w:pPr>
          </w:p>
          <w:p w14:paraId="15A38CF9" w14:textId="77777777" w:rsidR="00FB0F67" w:rsidRPr="00FB0F67" w:rsidRDefault="00FB0F67" w:rsidP="00FB0F67">
            <w:pPr>
              <w:ind w:left="351"/>
              <w:jc w:val="both"/>
              <w:rPr>
                <w:rFonts w:ascii="Arial Narrow" w:hAnsi="Arial Narrow" w:cs="Segoe UI"/>
                <w:sz w:val="22"/>
                <w:szCs w:val="22"/>
                <w:lang w:val="es-CO" w:eastAsia="es-CO"/>
              </w:rPr>
            </w:pPr>
          </w:p>
          <w:p w14:paraId="0AC8B70D" w14:textId="4D76BF96" w:rsidR="00B66C72" w:rsidRDefault="00B66C72" w:rsidP="00B36AA9">
            <w:pPr>
              <w:ind w:left="351"/>
              <w:rPr>
                <w:rStyle w:val="eop"/>
                <w:rFonts w:ascii="Arial Narrow" w:hAnsi="Arial Narrow"/>
                <w:sz w:val="22"/>
                <w:szCs w:val="22"/>
              </w:rPr>
            </w:pPr>
            <w:bookmarkStart w:id="4" w:name="_Hlk235461779"/>
            <w:r w:rsidRPr="00B66C72">
              <w:rPr>
                <w:rFonts w:ascii="Arial Narrow" w:hAnsi="Arial Narrow" w:cs="Segoe UI"/>
                <w:b/>
                <w:bCs/>
                <w:sz w:val="22"/>
                <w:szCs w:val="22"/>
                <w:lang w:val="es-CO" w:eastAsia="es-CO"/>
              </w:rPr>
              <w:t xml:space="preserve">Frente a </w:t>
            </w:r>
            <w:r w:rsidR="004828F4">
              <w:rPr>
                <w:rFonts w:ascii="Arial Narrow" w:hAnsi="Arial Narrow" w:cs="Segoe UI"/>
                <w:b/>
                <w:bCs/>
                <w:sz w:val="22"/>
                <w:szCs w:val="22"/>
                <w:lang w:val="es-CO" w:eastAsia="es-CO"/>
              </w:rPr>
              <w:t xml:space="preserve">otras </w:t>
            </w:r>
            <w:r w:rsidRPr="00B66C72">
              <w:rPr>
                <w:rFonts w:ascii="Arial Narrow" w:hAnsi="Arial Narrow" w:cs="Segoe UI"/>
                <w:b/>
                <w:bCs/>
                <w:sz w:val="22"/>
                <w:szCs w:val="22"/>
                <w:lang w:val="es-CO" w:eastAsia="es-CO"/>
              </w:rPr>
              <w:t xml:space="preserve">deficiencias identificadas </w:t>
            </w:r>
            <w:r w:rsidR="004828F4" w:rsidRPr="00B96775">
              <w:rPr>
                <w:rStyle w:val="normaltextrun"/>
                <w:rFonts w:ascii="Arial Narrow" w:hAnsi="Arial Narrow" w:cs="Segoe UI"/>
                <w:b/>
                <w:bCs/>
                <w:sz w:val="22"/>
                <w:szCs w:val="22"/>
              </w:rPr>
              <w:t>al realizar seguimiento a la resolución 1326 de 2017</w:t>
            </w:r>
            <w:r w:rsidR="004828F4" w:rsidRPr="00B96775">
              <w:rPr>
                <w:rStyle w:val="eop"/>
                <w:rFonts w:ascii="Arial Narrow" w:hAnsi="Arial Narrow"/>
                <w:sz w:val="22"/>
                <w:szCs w:val="22"/>
              </w:rPr>
              <w:t>:</w:t>
            </w:r>
          </w:p>
          <w:p w14:paraId="5FA0B9A7" w14:textId="5E501239" w:rsidR="003A5197" w:rsidRDefault="003A5197" w:rsidP="00B36AA9">
            <w:pPr>
              <w:ind w:left="351"/>
              <w:rPr>
                <w:rFonts w:ascii="Arial Narrow" w:hAnsi="Arial Narrow" w:cs="Segoe UI"/>
                <w:b/>
                <w:bCs/>
                <w:sz w:val="22"/>
                <w:szCs w:val="22"/>
                <w:lang w:val="es-CO" w:eastAsia="es-CO"/>
              </w:rPr>
            </w:pPr>
          </w:p>
          <w:p w14:paraId="740650BA" w14:textId="77777777" w:rsidR="005D3891" w:rsidRPr="005D3891" w:rsidRDefault="005D3891" w:rsidP="005868FC">
            <w:pPr>
              <w:ind w:left="351"/>
              <w:jc w:val="both"/>
              <w:rPr>
                <w:rFonts w:ascii="Arial Narrow" w:hAnsi="Arial Narrow" w:cs="Segoe UI"/>
                <w:sz w:val="22"/>
                <w:szCs w:val="22"/>
                <w:lang w:eastAsia="es-CO"/>
              </w:rPr>
            </w:pPr>
            <w:r w:rsidRPr="005D3891">
              <w:rPr>
                <w:rFonts w:ascii="Arial Narrow" w:hAnsi="Arial Narrow" w:cs="Segoe UI"/>
                <w:sz w:val="22"/>
                <w:szCs w:val="22"/>
                <w:lang w:eastAsia="es-CO"/>
              </w:rPr>
              <w:t>Se establecerá un mecanismo para reportar de manera oportuna, y no únicamente a través del informe anual, el ingreso de nuevos integrantes y el cambio de integrantes entre los Sistemas, de manera que la ANLA cuente con información actualizada y se eviten situaciones de vinculación simultánea de un mismo productor a diferentes Sistemas.</w:t>
            </w:r>
          </w:p>
          <w:p w14:paraId="3153E61C" w14:textId="77777777" w:rsidR="005D3891" w:rsidRPr="005D3891" w:rsidRDefault="005D3891" w:rsidP="005D3891">
            <w:pPr>
              <w:ind w:left="351"/>
              <w:rPr>
                <w:rFonts w:ascii="Arial Narrow" w:hAnsi="Arial Narrow" w:cs="Segoe UI"/>
                <w:sz w:val="22"/>
                <w:szCs w:val="22"/>
                <w:lang w:eastAsia="es-CO"/>
              </w:rPr>
            </w:pPr>
          </w:p>
          <w:p w14:paraId="7AAF816E" w14:textId="77777777" w:rsidR="005D3891" w:rsidRPr="005D3891" w:rsidRDefault="005D3891" w:rsidP="005D3891">
            <w:pPr>
              <w:ind w:left="351"/>
              <w:rPr>
                <w:rFonts w:ascii="Arial Narrow" w:hAnsi="Arial Narrow" w:cs="Segoe UI"/>
                <w:sz w:val="22"/>
                <w:szCs w:val="22"/>
                <w:lang w:eastAsia="es-CO"/>
              </w:rPr>
            </w:pPr>
            <w:r w:rsidRPr="005D3891">
              <w:rPr>
                <w:rFonts w:ascii="Arial Narrow" w:hAnsi="Arial Narrow" w:cs="Segoe UI"/>
                <w:sz w:val="22"/>
                <w:szCs w:val="22"/>
                <w:lang w:eastAsia="es-CO"/>
              </w:rPr>
              <w:t>Asimismo, se precisarán las obligaciones de los Montallantas respecto de la trazabilidad y el destino de las llantas usadas que reciban o manejen, con el fin de fortalecer el seguimiento sobre su gestión.</w:t>
            </w:r>
          </w:p>
          <w:p w14:paraId="3A05612E" w14:textId="77777777" w:rsidR="005D3891" w:rsidRPr="005D3891" w:rsidRDefault="005D3891" w:rsidP="005D3891">
            <w:pPr>
              <w:ind w:left="351"/>
              <w:rPr>
                <w:rFonts w:ascii="Arial Narrow" w:hAnsi="Arial Narrow" w:cs="Segoe UI"/>
                <w:sz w:val="22"/>
                <w:szCs w:val="22"/>
                <w:lang w:eastAsia="es-CO"/>
              </w:rPr>
            </w:pPr>
          </w:p>
          <w:p w14:paraId="5F965156" w14:textId="40D7EE8C" w:rsidR="00F5442A" w:rsidRDefault="005D3891" w:rsidP="005868FC">
            <w:pPr>
              <w:ind w:left="351"/>
              <w:jc w:val="both"/>
              <w:rPr>
                <w:rFonts w:ascii="Arial Narrow" w:hAnsi="Arial Narrow" w:cs="Segoe UI"/>
                <w:sz w:val="22"/>
                <w:szCs w:val="22"/>
                <w:lang w:eastAsia="es-CO"/>
              </w:rPr>
            </w:pPr>
            <w:r w:rsidRPr="005D3891">
              <w:rPr>
                <w:rFonts w:ascii="Arial Narrow" w:hAnsi="Arial Narrow" w:cs="Segoe UI"/>
                <w:sz w:val="22"/>
                <w:szCs w:val="22"/>
                <w:lang w:eastAsia="es-CO"/>
              </w:rPr>
              <w:t>Finalmente, se establecerá la prohibición expresa de comercializar como llantas de segunda</w:t>
            </w:r>
            <w:r w:rsidR="003A5197">
              <w:rPr>
                <w:rFonts w:ascii="Arial Narrow" w:hAnsi="Arial Narrow" w:cs="Segoe UI"/>
                <w:sz w:val="22"/>
                <w:szCs w:val="22"/>
                <w:lang w:eastAsia="es-CO"/>
              </w:rPr>
              <w:t>,</w:t>
            </w:r>
            <w:r w:rsidRPr="005D3891">
              <w:rPr>
                <w:rFonts w:ascii="Arial Narrow" w:hAnsi="Arial Narrow" w:cs="Segoe UI"/>
                <w:sz w:val="22"/>
                <w:szCs w:val="22"/>
                <w:lang w:eastAsia="es-CO"/>
              </w:rPr>
              <w:t xml:space="preserve"> aquellas que hayan sido entregadas a un Sistema en el marco de las obligaciones de Responsabilidad Extendida del Productor, dado que su entrega en este contexto implica que han sido retiradas del uso y deben ser objeto de gestión conforme a las disposiciones aplicables. Esta medida no constituye una restricción al mercado de llantas, toda vez que se limita a aquellas llantas que ya fueron entregadas a un Sistema en cumplimiento de las obligaciones derivadas de la Responsabilidad Extendida del Productor. Los Sistemas de Recolección Selectiva y Gestión Ambiental de Llantas Usadas son mecanismos establecidos en el marco de la REP para garantizar la gestión ambiental de las llantas usadas que han llegado al final de su vida útil y no para abastecer o desarrollar un mercado de llantas usadas para su comercialización como llantas de segunda.</w:t>
            </w:r>
          </w:p>
          <w:bookmarkEnd w:id="4"/>
          <w:p w14:paraId="7A6A4E88" w14:textId="7949DAA1" w:rsidR="00421F3A" w:rsidRPr="00B96775" w:rsidRDefault="00421F3A" w:rsidP="003A5197">
            <w:pPr>
              <w:ind w:right="470"/>
              <w:jc w:val="both"/>
              <w:rPr>
                <w:rFonts w:ascii="Arial Narrow" w:hAnsi="Arial Narrow" w:cs="Arial"/>
                <w:iCs/>
                <w:color w:val="000000"/>
                <w:sz w:val="22"/>
                <w:szCs w:val="22"/>
              </w:rPr>
            </w:pPr>
          </w:p>
          <w:p w14:paraId="38A55DAE" w14:textId="7A774538" w:rsidR="00E94DD9" w:rsidRPr="00944C3F" w:rsidRDefault="00421F3A" w:rsidP="00B96775">
            <w:pPr>
              <w:numPr>
                <w:ilvl w:val="0"/>
                <w:numId w:val="12"/>
              </w:numPr>
              <w:ind w:left="357" w:right="470"/>
              <w:contextualSpacing/>
              <w:jc w:val="both"/>
              <w:rPr>
                <w:rFonts w:ascii="Arial Narrow" w:hAnsi="Arial Narrow" w:cs="Arial"/>
                <w:b/>
                <w:bCs/>
                <w:iCs/>
                <w:color w:val="000000"/>
                <w:sz w:val="22"/>
                <w:szCs w:val="22"/>
                <w:u w:val="single"/>
              </w:rPr>
            </w:pPr>
            <w:r w:rsidRPr="00944C3F">
              <w:rPr>
                <w:rFonts w:ascii="Arial Narrow" w:hAnsi="Arial Narrow" w:cs="Arial"/>
                <w:b/>
                <w:bCs/>
                <w:iCs/>
                <w:color w:val="000000"/>
                <w:sz w:val="22"/>
                <w:szCs w:val="22"/>
                <w:u w:val="single"/>
              </w:rPr>
              <w:t>N</w:t>
            </w:r>
            <w:r w:rsidR="00E94DD9" w:rsidRPr="00944C3F">
              <w:rPr>
                <w:rFonts w:ascii="Arial Narrow" w:hAnsi="Arial Narrow" w:cs="Arial"/>
                <w:b/>
                <w:bCs/>
                <w:iCs/>
                <w:color w:val="000000"/>
                <w:sz w:val="22"/>
                <w:szCs w:val="22"/>
                <w:u w:val="single"/>
              </w:rPr>
              <w:t>ormas que otorgan la competencia para la expedición del correspondiente acto</w:t>
            </w:r>
          </w:p>
          <w:p w14:paraId="51951024" w14:textId="78304F44" w:rsidR="00421F3A" w:rsidRPr="00B96775" w:rsidRDefault="00421F3A" w:rsidP="00B96775">
            <w:pPr>
              <w:ind w:left="357" w:right="470"/>
              <w:contextualSpacing/>
              <w:jc w:val="both"/>
              <w:rPr>
                <w:rFonts w:ascii="Arial Narrow" w:hAnsi="Arial Narrow" w:cs="Arial"/>
                <w:iCs/>
                <w:color w:val="000000"/>
                <w:sz w:val="22"/>
                <w:szCs w:val="22"/>
              </w:rPr>
            </w:pPr>
          </w:p>
          <w:p w14:paraId="6E1297DB" w14:textId="1C9D4981" w:rsidR="00370C5C" w:rsidRDefault="00370C5C" w:rsidP="00B96775">
            <w:pPr>
              <w:ind w:left="357" w:right="470" w:firstLine="1"/>
              <w:jc w:val="both"/>
              <w:rPr>
                <w:rFonts w:ascii="Arial Narrow" w:hAnsi="Arial Narrow" w:cs="Arial"/>
                <w:iCs/>
                <w:color w:val="000000"/>
                <w:sz w:val="22"/>
                <w:szCs w:val="22"/>
              </w:rPr>
            </w:pPr>
            <w:r w:rsidRPr="00B96775">
              <w:rPr>
                <w:rFonts w:ascii="Arial Narrow" w:hAnsi="Arial Narrow" w:cs="Arial"/>
                <w:iCs/>
                <w:color w:val="000000"/>
                <w:sz w:val="22"/>
                <w:szCs w:val="22"/>
              </w:rPr>
              <w:t xml:space="preserve">Los numerales 2, 10 y 14 del artículo 5 de la ley 99 de 1993 establecen como funciones  del Ministerio de Ambiente y Desarrollo Sostenible, respectivamente: regular las condiciones generales para el saneamiento del medio ambiente, y el uso, aprovechamiento, conservación, restauración y recuperación de los recursos naturales; determinar las normas ambientales mínimas y las regulaciones de carácter general sobre medio ambiente a las que deberán sujetarse los centros urbanos y asentamientos humanos y en general todo servicio o actividad que pueda generar directa o indirectamente daños ambientales y definir y regular los instrumentos administrativos y mecanismos necesarios para la prevención y el control de los factores de deterioro ambiental, determinar los criterios de evaluación, seguimiento y manejo ambiental de las actividades económicas. </w:t>
            </w:r>
          </w:p>
          <w:p w14:paraId="4ED6D34C" w14:textId="77777777" w:rsidR="00944C3F" w:rsidRPr="00B96775" w:rsidRDefault="00944C3F" w:rsidP="00B96775">
            <w:pPr>
              <w:ind w:left="357" w:right="470" w:firstLine="1"/>
              <w:jc w:val="both"/>
              <w:rPr>
                <w:rFonts w:ascii="Arial Narrow" w:hAnsi="Arial Narrow" w:cs="Arial"/>
                <w:iCs/>
                <w:color w:val="000000"/>
                <w:sz w:val="22"/>
                <w:szCs w:val="22"/>
              </w:rPr>
            </w:pPr>
          </w:p>
          <w:p w14:paraId="01461A8D" w14:textId="49642178" w:rsidR="007B35B2" w:rsidRPr="00B96775" w:rsidRDefault="00944C3F" w:rsidP="00B96775">
            <w:pPr>
              <w:ind w:left="357" w:right="470" w:firstLine="1"/>
              <w:jc w:val="both"/>
              <w:rPr>
                <w:rFonts w:ascii="Arial Narrow" w:hAnsi="Arial Narrow" w:cs="Arial"/>
                <w:iCs/>
                <w:color w:val="000000"/>
                <w:sz w:val="22"/>
                <w:szCs w:val="22"/>
              </w:rPr>
            </w:pPr>
            <w:r>
              <w:rPr>
                <w:rFonts w:ascii="Arial Narrow" w:hAnsi="Arial Narrow" w:cs="Arial"/>
                <w:iCs/>
                <w:color w:val="000000"/>
                <w:sz w:val="22"/>
                <w:szCs w:val="22"/>
              </w:rPr>
              <w:t>Por último, e</w:t>
            </w:r>
            <w:r w:rsidR="00370C5C" w:rsidRPr="00B96775">
              <w:rPr>
                <w:rFonts w:ascii="Arial Narrow" w:hAnsi="Arial Narrow" w:cs="Arial"/>
                <w:iCs/>
                <w:color w:val="000000"/>
                <w:sz w:val="22"/>
                <w:szCs w:val="22"/>
              </w:rPr>
              <w:t>l Ministerio de Ambiente y Desarrollo Sostenible, expidió la Resolución 1326 de 2017 “Por la cual se establecen los Sistemas de Recolección Selectiva y Gestión Ambiental de Llantas Usadas y se dictan otras disposiciones”</w:t>
            </w:r>
            <w:r w:rsidR="005F2126" w:rsidRPr="00B96775">
              <w:rPr>
                <w:rFonts w:ascii="Arial Narrow" w:hAnsi="Arial Narrow" w:cs="Arial"/>
                <w:iCs/>
                <w:color w:val="000000"/>
                <w:sz w:val="22"/>
                <w:szCs w:val="22"/>
              </w:rPr>
              <w:t>.</w:t>
            </w:r>
          </w:p>
          <w:p w14:paraId="3D13F086" w14:textId="77777777" w:rsidR="007B35B2" w:rsidRPr="00B96775" w:rsidRDefault="007B35B2" w:rsidP="00B96775">
            <w:pPr>
              <w:ind w:left="357" w:right="470"/>
              <w:jc w:val="both"/>
              <w:rPr>
                <w:rFonts w:ascii="Arial Narrow" w:hAnsi="Arial Narrow" w:cs="Arial"/>
                <w:iCs/>
                <w:color w:val="000000"/>
                <w:sz w:val="22"/>
                <w:szCs w:val="22"/>
              </w:rPr>
            </w:pPr>
          </w:p>
          <w:p w14:paraId="633750F5" w14:textId="77777777" w:rsidR="00A57F44" w:rsidRPr="00944C3F" w:rsidRDefault="00E94DD9" w:rsidP="00B96775">
            <w:pPr>
              <w:numPr>
                <w:ilvl w:val="0"/>
                <w:numId w:val="12"/>
              </w:numPr>
              <w:ind w:left="357" w:right="470"/>
              <w:contextualSpacing/>
              <w:jc w:val="both"/>
              <w:rPr>
                <w:rFonts w:ascii="Arial Narrow" w:hAnsi="Arial Narrow" w:cs="Arial"/>
                <w:b/>
                <w:bCs/>
                <w:iCs/>
                <w:color w:val="000000"/>
                <w:sz w:val="22"/>
                <w:szCs w:val="22"/>
                <w:u w:val="single"/>
              </w:rPr>
            </w:pPr>
            <w:r w:rsidRPr="00944C3F">
              <w:rPr>
                <w:rFonts w:ascii="Arial Narrow" w:hAnsi="Arial Narrow" w:cs="Arial"/>
                <w:b/>
                <w:bCs/>
                <w:iCs/>
                <w:color w:val="000000"/>
                <w:sz w:val="22"/>
                <w:szCs w:val="22"/>
                <w:u w:val="single"/>
              </w:rPr>
              <w:t>Identificación del inventario normativo vigente en la(s) materia(s) sobre las cuales se va a derogar, subrogar, modificar, adicionar o sustituir de forma total o parcial con el proyecto normativo.</w:t>
            </w:r>
          </w:p>
          <w:p w14:paraId="6826C49E" w14:textId="313C3A9B" w:rsidR="00A57F44" w:rsidRPr="00B96775" w:rsidRDefault="00A57F44" w:rsidP="00B96775">
            <w:pPr>
              <w:ind w:left="357" w:right="470"/>
              <w:contextualSpacing/>
              <w:jc w:val="both"/>
              <w:rPr>
                <w:rFonts w:ascii="Arial Narrow" w:hAnsi="Arial Narrow" w:cs="Arial"/>
                <w:iCs/>
                <w:color w:val="000000"/>
                <w:sz w:val="22"/>
                <w:szCs w:val="22"/>
              </w:rPr>
            </w:pPr>
          </w:p>
          <w:p w14:paraId="6EA129E4" w14:textId="7E1188AC" w:rsidR="00370C5C" w:rsidRPr="00B96775" w:rsidRDefault="00370C5C" w:rsidP="00B96775">
            <w:pPr>
              <w:pStyle w:val="Textoindependiente2"/>
              <w:spacing w:after="0" w:line="240" w:lineRule="auto"/>
              <w:ind w:left="357" w:right="470"/>
              <w:jc w:val="both"/>
              <w:rPr>
                <w:rFonts w:ascii="Arial Narrow" w:hAnsi="Arial Narrow" w:cs="Arial"/>
                <w:iCs/>
                <w:color w:val="000000"/>
                <w:sz w:val="22"/>
                <w:szCs w:val="22"/>
              </w:rPr>
            </w:pPr>
            <w:r w:rsidRPr="00B96775">
              <w:rPr>
                <w:rFonts w:ascii="Arial Narrow" w:hAnsi="Arial Narrow" w:cs="Arial"/>
                <w:iCs/>
                <w:color w:val="000000"/>
                <w:sz w:val="22"/>
                <w:szCs w:val="22"/>
              </w:rPr>
              <w:t>El presente proyecto de resolución, modifica los artículos 3, 4, 10, 13, 14, 15, 16, 19, 21 y 22, así como los Anexos II, III, IV, y adopta los anexos V, VI, VII y VIII   de la Resolución 1326 de 2017.</w:t>
            </w:r>
          </w:p>
          <w:p w14:paraId="74024A30" w14:textId="77777777" w:rsidR="00421F3A" w:rsidRPr="00B96775" w:rsidRDefault="00421F3A" w:rsidP="00B96775">
            <w:pPr>
              <w:ind w:left="357" w:right="470"/>
              <w:jc w:val="both"/>
              <w:rPr>
                <w:rFonts w:ascii="Arial Narrow" w:hAnsi="Arial Narrow" w:cs="Arial"/>
                <w:iCs/>
                <w:color w:val="000000"/>
                <w:sz w:val="22"/>
                <w:szCs w:val="22"/>
              </w:rPr>
            </w:pPr>
          </w:p>
          <w:p w14:paraId="20AA9230" w14:textId="22C24B5E" w:rsidR="00E94DD9" w:rsidRPr="007F133B" w:rsidRDefault="00E94DD9" w:rsidP="00B96775">
            <w:pPr>
              <w:numPr>
                <w:ilvl w:val="0"/>
                <w:numId w:val="12"/>
              </w:numPr>
              <w:ind w:left="357" w:right="470"/>
              <w:contextualSpacing/>
              <w:jc w:val="both"/>
              <w:rPr>
                <w:rFonts w:ascii="Arial Narrow" w:hAnsi="Arial Narrow" w:cs="Arial"/>
                <w:b/>
                <w:bCs/>
                <w:iCs/>
                <w:color w:val="000000"/>
                <w:sz w:val="22"/>
                <w:szCs w:val="22"/>
                <w:u w:val="single"/>
              </w:rPr>
            </w:pPr>
            <w:bookmarkStart w:id="5" w:name="_Hlk235462243"/>
            <w:r w:rsidRPr="007F133B">
              <w:rPr>
                <w:rFonts w:ascii="Arial Narrow" w:hAnsi="Arial Narrow" w:cs="Arial"/>
                <w:b/>
                <w:bCs/>
                <w:iCs/>
                <w:color w:val="000000"/>
                <w:sz w:val="22"/>
                <w:szCs w:val="22"/>
                <w:u w:val="single"/>
              </w:rPr>
              <w:t>Identificación de las razones por las que las disposiciones del inventario normativo vigente no son suficientes o efectivas para lograr el objetivo que se pretende alcanzar con la intervención normativa.</w:t>
            </w:r>
          </w:p>
          <w:p w14:paraId="12D21B6F" w14:textId="0A24D7FE" w:rsidR="00A57F44" w:rsidRDefault="00A57F44" w:rsidP="00B96775">
            <w:pPr>
              <w:ind w:left="357" w:right="470"/>
              <w:contextualSpacing/>
              <w:jc w:val="both"/>
              <w:rPr>
                <w:rFonts w:ascii="Arial Narrow" w:hAnsi="Arial Narrow" w:cs="Arial"/>
                <w:iCs/>
                <w:color w:val="000000"/>
                <w:sz w:val="22"/>
                <w:szCs w:val="22"/>
              </w:rPr>
            </w:pPr>
          </w:p>
          <w:p w14:paraId="1A3A178F"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La evaluación de la aplicación de la Resolución 1326 de 2017 y el seguimiento realizado a los Sistemas de Recolección Selectiva y Gestión Ambiental de Llantas Usadas permitieron identificar que algunas de sus disposiciones requieren ser actualizadas y complementadas para garantizar el cumplimiento efectivo de los objetivos de gestión ambiental de las llantas usadas.</w:t>
            </w:r>
          </w:p>
          <w:p w14:paraId="41A69035"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 </w:t>
            </w:r>
          </w:p>
          <w:p w14:paraId="2DF71121"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En primer lugar, la resolución no establece una correspondencia completa entre el término “llanta” utilizado en su ámbito de aplicación y la totalidad de las partidas y subpartidas arancelarias mediante las cuales se importan estos productos, que en algunos casos se identifican como “neumáticos”. Esta situación dificulta la identificación y contabilización de la totalidad de las llantas importadas sujetas a las obligaciones de Responsabilidad Extendida del Productor.</w:t>
            </w:r>
          </w:p>
          <w:p w14:paraId="7A58EA96"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 </w:t>
            </w:r>
          </w:p>
          <w:p w14:paraId="402C8742"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Asimismo, las disposiciones vigentes no han sido suficientes para promover de manera efectiva el reencauche como estrategia de reutilización. Aunque los certificados expedidos por las empresas reencauchadoras pueden ser considerados para el cumplimiento de las metas, la regulación no establece mecanismos específicos para que los Sistemas promuevan esta alternativa entre los actores de la cadena.</w:t>
            </w:r>
          </w:p>
          <w:p w14:paraId="074DD81B"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 </w:t>
            </w:r>
          </w:p>
          <w:p w14:paraId="50683137"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 xml:space="preserve">De igual manera, el aumento significativo de las importaciones de llantas de bicicletas, motocicletas, motociclos, ciclomotores, </w:t>
            </w:r>
            <w:proofErr w:type="spellStart"/>
            <w:r w:rsidRPr="00651B0A">
              <w:rPr>
                <w:rFonts w:ascii="Arial Narrow" w:hAnsi="Arial Narrow"/>
                <w:sz w:val="22"/>
                <w:szCs w:val="22"/>
                <w:lang w:val="es-CO" w:eastAsia="es-CO"/>
              </w:rPr>
              <w:t>Moped</w:t>
            </w:r>
            <w:proofErr w:type="spellEnd"/>
            <w:r w:rsidRPr="00651B0A">
              <w:rPr>
                <w:rFonts w:ascii="Arial Narrow" w:hAnsi="Arial Narrow"/>
                <w:sz w:val="22"/>
                <w:szCs w:val="22"/>
                <w:lang w:val="es-CO" w:eastAsia="es-CO"/>
              </w:rPr>
              <w:t xml:space="preserve"> y vehículos fuera de carretera no se encuentra acompañado de un incremento equivalente en las metas de recolección y gestión ambiental aplicables a estas categorías. En consecuencia, el porcentaje máximo actualmente previsto puede resultar insuficiente frente al crecimiento de las cantidades de llantas que ingresan al país y que posteriormente requieren gestión ambiental.</w:t>
            </w:r>
          </w:p>
          <w:p w14:paraId="4834E7AB"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 </w:t>
            </w:r>
          </w:p>
          <w:p w14:paraId="30A8590C" w14:textId="0F27123E"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Adicionalmente, se identificaron deficiencias en la trazabilidad de los certificados de gestión ambiental expedidos por los gestores. La regulación vigente no contempla una obligación a los gestores que permita relacionar realmente las cantidades de llantas usadas recibidas, procesadas, los subproductos obtenidos y su destino final. Esta ausencia dificulta verificar que las cantidades certificadas correspondan efectivamente a las llantas sometidas a procesos de gestión y al material realmente obtenido como resultado de dichos procesos, por lo que se crea la obligación de llevar a cabo un balance de masa por parte de los gestores.</w:t>
            </w:r>
          </w:p>
          <w:p w14:paraId="456CF79A"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 </w:t>
            </w:r>
          </w:p>
          <w:p w14:paraId="0063AB69"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La evaluación de los informes presentados por los regulados también evidenció que el cumplimiento de las metas expresadas únicamente en número de unidades no garantiza necesariamente la gestión de una cantidad equivalente de material en términos de peso. Por esta razón, las disposiciones vigentes resultan insuficientes para asegurar una correspondencia adecuada entre el peso de las llantas producidas o importadas y el peso de las llantas usadas efectivamente recolectadas y gestionadas.</w:t>
            </w:r>
          </w:p>
          <w:p w14:paraId="0AB3942B"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 </w:t>
            </w:r>
          </w:p>
          <w:p w14:paraId="2647F1DE"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Adicionalmente, se identificó una concentración de las actividades de recolección y gestión en los principales centros urbanos del país. Si bien los Sistemas han alcanzado una cobertura en diferentes departamentos y municipios, la mayor parte de las actividades se concentra en las principales ciudades, mientras que algunos municipios intermedios y apartados presentan una cobertura limitada o nula. La regulación vigente no establece mecanismos suficientemente efectivos para promover una cobertura territorial más equilibrada.</w:t>
            </w:r>
          </w:p>
          <w:p w14:paraId="31169500"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 </w:t>
            </w:r>
          </w:p>
          <w:p w14:paraId="4A5EF6E8" w14:textId="3E6DAD45"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 xml:space="preserve">También se identificaron deficiencias en la trazabilidad de la información relacionada con la gestión de las llantas usadas. En particular, la regulación no establece un mecanismo para reportar oportunamente el ingreso de nuevos integrantes o el cambio de productores entre Sistemas, por lo que la información puede permanecer desactualizada hasta la presentación del informe anual y generar inconsistencias en la identificación de los Sistemas </w:t>
            </w:r>
            <w:r w:rsidR="007C6FA7">
              <w:rPr>
                <w:rFonts w:ascii="Arial Narrow" w:hAnsi="Arial Narrow"/>
                <w:sz w:val="22"/>
                <w:szCs w:val="22"/>
                <w:lang w:val="es-CO" w:eastAsia="es-CO"/>
              </w:rPr>
              <w:t>en</w:t>
            </w:r>
            <w:r w:rsidRPr="00651B0A">
              <w:rPr>
                <w:rFonts w:ascii="Arial Narrow" w:hAnsi="Arial Narrow"/>
                <w:sz w:val="22"/>
                <w:szCs w:val="22"/>
                <w:lang w:val="es-CO" w:eastAsia="es-CO"/>
              </w:rPr>
              <w:t xml:space="preserve"> los que se encuentran vinculados los productores.</w:t>
            </w:r>
          </w:p>
          <w:p w14:paraId="3832F291"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t> </w:t>
            </w:r>
          </w:p>
          <w:p w14:paraId="15908363" w14:textId="77777777" w:rsidR="00651B0A" w:rsidRPr="00651B0A" w:rsidRDefault="00651B0A" w:rsidP="00651B0A">
            <w:pPr>
              <w:ind w:left="357"/>
              <w:jc w:val="both"/>
              <w:rPr>
                <w:rFonts w:ascii="Arial Narrow" w:hAnsi="Arial Narrow"/>
                <w:sz w:val="22"/>
                <w:szCs w:val="22"/>
                <w:lang w:val="es-CO" w:eastAsia="es-CO"/>
              </w:rPr>
            </w:pPr>
            <w:r w:rsidRPr="00651B0A">
              <w:rPr>
                <w:rFonts w:ascii="Arial Narrow" w:hAnsi="Arial Narrow"/>
                <w:sz w:val="22"/>
                <w:szCs w:val="22"/>
                <w:lang w:val="es-CO" w:eastAsia="es-CO"/>
              </w:rPr>
              <w:lastRenderedPageBreak/>
              <w:t>De otra parte, las obligaciones previstas para los Montallantas son generales y no permiten realizar un seguimiento suficiente sobre el destino de las llantas usadas que reciben o manejan. Esto limita la trazabilidad de dichas llantas y dificulta verificar que sean entregadas a canales de gestión ambiental adecuados.</w:t>
            </w:r>
          </w:p>
          <w:p w14:paraId="640D3738" w14:textId="77777777" w:rsidR="00651B0A" w:rsidRPr="00651B0A" w:rsidRDefault="00651B0A" w:rsidP="00651B0A">
            <w:pPr>
              <w:jc w:val="both"/>
              <w:rPr>
                <w:rFonts w:ascii="Arial Narrow" w:hAnsi="Arial Narrow"/>
                <w:sz w:val="22"/>
                <w:szCs w:val="22"/>
                <w:lang w:val="es-CO" w:eastAsia="es-CO"/>
              </w:rPr>
            </w:pPr>
            <w:r w:rsidRPr="00651B0A">
              <w:rPr>
                <w:rFonts w:ascii="Arial Narrow" w:hAnsi="Arial Narrow"/>
                <w:sz w:val="22"/>
                <w:szCs w:val="22"/>
                <w:lang w:val="es-CO" w:eastAsia="es-CO"/>
              </w:rPr>
              <w:t> </w:t>
            </w:r>
          </w:p>
          <w:p w14:paraId="6A0C3968" w14:textId="7EF9827C" w:rsidR="00651B0A" w:rsidRDefault="00651B0A" w:rsidP="007C6FA7">
            <w:pPr>
              <w:ind w:left="357"/>
              <w:jc w:val="both"/>
              <w:rPr>
                <w:rFonts w:ascii="Arial Narrow" w:hAnsi="Arial Narrow"/>
                <w:sz w:val="22"/>
                <w:szCs w:val="22"/>
                <w:lang w:val="es-CO" w:eastAsia="es-CO"/>
              </w:rPr>
            </w:pPr>
            <w:r w:rsidRPr="00651B0A">
              <w:rPr>
                <w:rFonts w:ascii="Arial Narrow" w:hAnsi="Arial Narrow"/>
                <w:sz w:val="22"/>
                <w:szCs w:val="22"/>
                <w:lang w:val="es-CO" w:eastAsia="es-CO"/>
              </w:rPr>
              <w:t>Finalmente, la regulación vigente no establece expresamente la prohibición de comercializar</w:t>
            </w:r>
            <w:r w:rsidR="007C6FA7">
              <w:rPr>
                <w:rFonts w:ascii="Arial Narrow" w:hAnsi="Arial Narrow"/>
                <w:sz w:val="22"/>
                <w:szCs w:val="22"/>
                <w:lang w:val="es-CO" w:eastAsia="es-CO"/>
              </w:rPr>
              <w:t>,</w:t>
            </w:r>
            <w:r w:rsidRPr="00651B0A">
              <w:rPr>
                <w:rFonts w:ascii="Arial Narrow" w:hAnsi="Arial Narrow"/>
                <w:sz w:val="22"/>
                <w:szCs w:val="22"/>
                <w:lang w:val="es-CO" w:eastAsia="es-CO"/>
              </w:rPr>
              <w:t xml:space="preserve"> como llantas de segunda</w:t>
            </w:r>
            <w:r w:rsidR="007C6FA7">
              <w:rPr>
                <w:rFonts w:ascii="Arial Narrow" w:hAnsi="Arial Narrow"/>
                <w:sz w:val="22"/>
                <w:szCs w:val="22"/>
                <w:lang w:val="es-CO" w:eastAsia="es-CO"/>
              </w:rPr>
              <w:t>,</w:t>
            </w:r>
            <w:r w:rsidRPr="00651B0A">
              <w:rPr>
                <w:rFonts w:ascii="Arial Narrow" w:hAnsi="Arial Narrow"/>
                <w:sz w:val="22"/>
                <w:szCs w:val="22"/>
                <w:lang w:val="es-CO" w:eastAsia="es-CO"/>
              </w:rPr>
              <w:t xml:space="preserve"> aquellas que hayan sido entregadas a un Sistema en el marco de las obligaciones de Responsabilidad Extendida del Productor. Esta ausencia puede generar confusión respecto de la condición de las llantas que ya fueron retiradas del uso y entregadas para su gestión ambiental.</w:t>
            </w:r>
          </w:p>
          <w:p w14:paraId="450FDC23" w14:textId="77777777" w:rsidR="007C6FA7" w:rsidRPr="00651B0A" w:rsidRDefault="007C6FA7" w:rsidP="007C6FA7">
            <w:pPr>
              <w:ind w:left="357"/>
              <w:jc w:val="both"/>
              <w:rPr>
                <w:rFonts w:ascii="Arial Narrow" w:hAnsi="Arial Narrow"/>
                <w:sz w:val="22"/>
                <w:szCs w:val="22"/>
                <w:lang w:val="es-CO" w:eastAsia="es-CO"/>
              </w:rPr>
            </w:pPr>
          </w:p>
          <w:p w14:paraId="088CD0DC" w14:textId="32079E89" w:rsidR="006A5333" w:rsidRDefault="00651B0A" w:rsidP="007C6FA7">
            <w:pPr>
              <w:ind w:left="357"/>
              <w:jc w:val="both"/>
              <w:rPr>
                <w:rFonts w:ascii="Arial Narrow" w:hAnsi="Arial Narrow" w:cs="Arial"/>
                <w:iCs/>
                <w:color w:val="000000"/>
                <w:sz w:val="22"/>
                <w:szCs w:val="22"/>
              </w:rPr>
            </w:pPr>
            <w:r w:rsidRPr="00651B0A">
              <w:rPr>
                <w:rFonts w:ascii="Arial Narrow" w:hAnsi="Arial Narrow"/>
                <w:sz w:val="22"/>
                <w:szCs w:val="22"/>
                <w:lang w:val="es-CO" w:eastAsia="es-CO"/>
              </w:rPr>
              <w:t>En consecuencia, las disposiciones vigentes requieren ser actualizadas y complementadas para mejorar la identificación de las llantas sujetas a la REP, fortalecer la trazabilidad de su gestión, promover la reutilización mediante el reencauche, garantizar una gestión proporcional a las cantidades y pesos introducidos al mercado, ampliar la cobertura territorial y precisar las obligaciones de los actores que intervienen en la</w:t>
            </w:r>
            <w:r w:rsidR="007C6FA7">
              <w:rPr>
                <w:rFonts w:ascii="Arial Narrow" w:hAnsi="Arial Narrow"/>
                <w:sz w:val="22"/>
                <w:szCs w:val="22"/>
                <w:lang w:val="es-CO" w:eastAsia="es-CO"/>
              </w:rPr>
              <w:t xml:space="preserve"> </w:t>
            </w:r>
            <w:r w:rsidR="009B3775" w:rsidRPr="009B3775">
              <w:rPr>
                <w:rFonts w:ascii="Arial Narrow" w:hAnsi="Arial Narrow" w:cs="Arial"/>
                <w:iCs/>
                <w:color w:val="000000"/>
                <w:sz w:val="22"/>
                <w:szCs w:val="22"/>
              </w:rPr>
              <w:t>gestión de las llantas usadas.</w:t>
            </w:r>
          </w:p>
          <w:bookmarkEnd w:id="5"/>
          <w:p w14:paraId="6F79CCC2" w14:textId="77777777" w:rsidR="00421F3A" w:rsidRPr="00B96775" w:rsidRDefault="00421F3A" w:rsidP="00171B31">
            <w:pPr>
              <w:ind w:right="470"/>
              <w:jc w:val="both"/>
              <w:rPr>
                <w:rFonts w:ascii="Arial Narrow" w:hAnsi="Arial Narrow" w:cs="Arial"/>
                <w:iCs/>
                <w:color w:val="000000"/>
                <w:sz w:val="22"/>
                <w:szCs w:val="22"/>
              </w:rPr>
            </w:pPr>
          </w:p>
          <w:p w14:paraId="431439E3" w14:textId="77777777" w:rsidR="004609C0" w:rsidRPr="00171B31" w:rsidRDefault="00E94DD9" w:rsidP="00B96775">
            <w:pPr>
              <w:numPr>
                <w:ilvl w:val="0"/>
                <w:numId w:val="12"/>
              </w:numPr>
              <w:ind w:left="357" w:right="470"/>
              <w:contextualSpacing/>
              <w:jc w:val="both"/>
              <w:rPr>
                <w:rFonts w:ascii="Arial Narrow" w:hAnsi="Arial Narrow" w:cs="Arial"/>
                <w:b/>
                <w:bCs/>
                <w:iCs/>
                <w:color w:val="000000"/>
                <w:sz w:val="22"/>
                <w:szCs w:val="22"/>
                <w:u w:val="single"/>
              </w:rPr>
            </w:pPr>
            <w:r w:rsidRPr="00171B31">
              <w:rPr>
                <w:rFonts w:ascii="Arial Narrow" w:hAnsi="Arial Narrow" w:cs="Arial"/>
                <w:b/>
                <w:bCs/>
                <w:iCs/>
                <w:color w:val="000000"/>
                <w:sz w:val="22"/>
                <w:szCs w:val="22"/>
                <w:u w:val="single"/>
              </w:rPr>
              <w:t>Explicación de por qué el abordaje del problema, necesidad u oportunidad debe ser desde el punto de vista normativo y no de política pública o de otro tipo de intervención.</w:t>
            </w:r>
          </w:p>
          <w:p w14:paraId="14735795" w14:textId="1D724105" w:rsidR="004609C0" w:rsidRDefault="004609C0" w:rsidP="00B96775">
            <w:pPr>
              <w:ind w:left="357" w:right="470"/>
              <w:contextualSpacing/>
              <w:jc w:val="both"/>
              <w:rPr>
                <w:rFonts w:ascii="Arial Narrow" w:hAnsi="Arial Narrow" w:cs="Arial"/>
                <w:iCs/>
                <w:color w:val="000000"/>
                <w:sz w:val="22"/>
                <w:szCs w:val="22"/>
              </w:rPr>
            </w:pPr>
          </w:p>
          <w:p w14:paraId="433B10ED" w14:textId="77777777" w:rsidR="0098729D" w:rsidRPr="0098729D" w:rsidRDefault="0098729D" w:rsidP="0098729D">
            <w:pPr>
              <w:ind w:left="357" w:right="470"/>
              <w:contextualSpacing/>
              <w:jc w:val="both"/>
              <w:rPr>
                <w:rFonts w:ascii="Arial Narrow" w:hAnsi="Arial Narrow" w:cs="Arial"/>
                <w:iCs/>
                <w:color w:val="000000"/>
                <w:sz w:val="22"/>
                <w:szCs w:val="22"/>
              </w:rPr>
            </w:pPr>
            <w:r w:rsidRPr="0098729D">
              <w:rPr>
                <w:rFonts w:ascii="Arial Narrow" w:hAnsi="Arial Narrow" w:cs="Arial"/>
                <w:iCs/>
                <w:color w:val="000000"/>
                <w:sz w:val="22"/>
                <w:szCs w:val="22"/>
              </w:rPr>
              <w:t>El abordaje de las situaciones identificadas requiere una intervención de carácter normativo, debido a que las medidas necesarias para fortalecer la recolección y gestión ambiental de las llantas usadas implican modificar y complementar obligaciones, metas, mecanismos de seguimiento y condiciones aplicables a los Sistemas de Recolección Selectiva y Gestión Ambiental de Llantas Usadas y a los demás actores sujetos a la regulación.</w:t>
            </w:r>
          </w:p>
          <w:p w14:paraId="4C053E32" w14:textId="77777777" w:rsidR="0098729D" w:rsidRPr="0098729D" w:rsidRDefault="0098729D" w:rsidP="0098729D">
            <w:pPr>
              <w:ind w:left="357" w:right="470"/>
              <w:contextualSpacing/>
              <w:jc w:val="both"/>
              <w:rPr>
                <w:rFonts w:ascii="Arial Narrow" w:hAnsi="Arial Narrow" w:cs="Arial"/>
                <w:iCs/>
                <w:color w:val="000000"/>
                <w:sz w:val="22"/>
                <w:szCs w:val="22"/>
              </w:rPr>
            </w:pPr>
          </w:p>
          <w:p w14:paraId="002FE5CD" w14:textId="4985E363" w:rsidR="0098729D" w:rsidRPr="0098729D" w:rsidRDefault="0098729D" w:rsidP="0098729D">
            <w:pPr>
              <w:ind w:left="357" w:right="470"/>
              <w:contextualSpacing/>
              <w:jc w:val="both"/>
              <w:rPr>
                <w:rFonts w:ascii="Arial Narrow" w:hAnsi="Arial Narrow" w:cs="Arial"/>
                <w:iCs/>
                <w:color w:val="000000"/>
                <w:sz w:val="22"/>
                <w:szCs w:val="22"/>
              </w:rPr>
            </w:pPr>
            <w:r w:rsidRPr="0098729D">
              <w:rPr>
                <w:rFonts w:ascii="Arial Narrow" w:hAnsi="Arial Narrow" w:cs="Arial"/>
                <w:iCs/>
                <w:color w:val="000000"/>
                <w:sz w:val="22"/>
                <w:szCs w:val="22"/>
              </w:rPr>
              <w:t>En particular, aspectos como la actualización del ámbito de aplicación</w:t>
            </w:r>
            <w:r w:rsidR="007C6FA7">
              <w:rPr>
                <w:rFonts w:ascii="Arial Narrow" w:hAnsi="Arial Narrow" w:cs="Arial"/>
                <w:iCs/>
                <w:color w:val="000000"/>
                <w:sz w:val="22"/>
                <w:szCs w:val="22"/>
              </w:rPr>
              <w:t>,</w:t>
            </w:r>
            <w:r w:rsidRPr="0098729D">
              <w:rPr>
                <w:rFonts w:ascii="Arial Narrow" w:hAnsi="Arial Narrow" w:cs="Arial"/>
                <w:iCs/>
                <w:color w:val="000000"/>
                <w:sz w:val="22"/>
                <w:szCs w:val="22"/>
              </w:rPr>
              <w:t xml:space="preserve"> la inclusión de las partidas y subpartidas arancelarias correspondientes, el establecimiento de metas de gestión en función del peso de las llantas producidas o importadas, la incorporación de obligaciones relacionadas con el balance de masas y la trazabilidad de los certificados de gestión, el fortalecimiento de la promoción del reencauche, la ampliación de las metas para determinadas categorías de llantas, la promoción de una mayor cobertura territorial y la precisión de las obligaciones de los diferentes actores de la cadena requieren establecer reglas de obligatorio cumplimiento.</w:t>
            </w:r>
          </w:p>
          <w:p w14:paraId="488F9096" w14:textId="77777777" w:rsidR="0098729D" w:rsidRPr="0098729D" w:rsidRDefault="0098729D" w:rsidP="0098729D">
            <w:pPr>
              <w:ind w:left="357" w:right="470"/>
              <w:contextualSpacing/>
              <w:jc w:val="both"/>
              <w:rPr>
                <w:rFonts w:ascii="Arial Narrow" w:hAnsi="Arial Narrow" w:cs="Arial"/>
                <w:iCs/>
                <w:color w:val="000000"/>
                <w:sz w:val="22"/>
                <w:szCs w:val="22"/>
              </w:rPr>
            </w:pPr>
          </w:p>
          <w:p w14:paraId="1816DE23" w14:textId="1A60FD19" w:rsidR="00421F3A" w:rsidRDefault="0098729D" w:rsidP="0098729D">
            <w:pPr>
              <w:ind w:left="357" w:right="470"/>
              <w:jc w:val="both"/>
              <w:rPr>
                <w:rFonts w:ascii="Arial Narrow" w:hAnsi="Arial Narrow" w:cs="Arial"/>
                <w:iCs/>
                <w:color w:val="000000"/>
                <w:sz w:val="22"/>
                <w:szCs w:val="22"/>
              </w:rPr>
            </w:pPr>
            <w:r w:rsidRPr="0098729D">
              <w:rPr>
                <w:rFonts w:ascii="Arial Narrow" w:hAnsi="Arial Narrow" w:cs="Arial"/>
                <w:iCs/>
                <w:color w:val="000000"/>
                <w:sz w:val="22"/>
                <w:szCs w:val="22"/>
              </w:rPr>
              <w:t>Por lo anterior, las acciones de política pública, los mecanismos de divulgación o los acuerdos voluntarios no resultarían suficientes para alcanzar los objetivos propuestos, dado que no permitirían modificar las obligaciones y metas establecidas en la Resolución 1326 de 2017 ni garantizar su cumplimiento obligatorio por parte de los sujetos regulados. En consecuencia, la modificación de dicha resolución constituye el instrumento adecuado para actualizar y fortalecer el esquema de Responsabilidad Extendida del Productor aplicable a las llantas usadas y atender las deficiencias identificadas durante su implementación y seguimiento.</w:t>
            </w:r>
          </w:p>
          <w:p w14:paraId="15DA5A10" w14:textId="77777777" w:rsidR="0098729D" w:rsidRPr="00B96775" w:rsidRDefault="0098729D" w:rsidP="0098729D">
            <w:pPr>
              <w:ind w:left="357" w:right="470"/>
              <w:jc w:val="both"/>
              <w:rPr>
                <w:rFonts w:ascii="Arial Narrow" w:hAnsi="Arial Narrow" w:cs="Arial"/>
                <w:iCs/>
                <w:color w:val="000000"/>
                <w:sz w:val="22"/>
                <w:szCs w:val="22"/>
              </w:rPr>
            </w:pPr>
          </w:p>
          <w:p w14:paraId="1D06059F" w14:textId="45843B87" w:rsidR="00E94DD9" w:rsidRPr="00B36AA9" w:rsidRDefault="00421F3A" w:rsidP="00B96775">
            <w:pPr>
              <w:numPr>
                <w:ilvl w:val="0"/>
                <w:numId w:val="12"/>
              </w:numPr>
              <w:ind w:left="357" w:right="470"/>
              <w:contextualSpacing/>
              <w:jc w:val="both"/>
              <w:rPr>
                <w:rFonts w:ascii="Arial Narrow" w:hAnsi="Arial Narrow" w:cs="Arial"/>
                <w:b/>
                <w:bCs/>
                <w:iCs/>
                <w:color w:val="000000"/>
                <w:sz w:val="22"/>
                <w:szCs w:val="22"/>
                <w:u w:val="single"/>
              </w:rPr>
            </w:pPr>
            <w:r w:rsidRPr="00B36AA9">
              <w:rPr>
                <w:rFonts w:ascii="Arial Narrow" w:hAnsi="Arial Narrow" w:cs="Arial"/>
                <w:b/>
                <w:bCs/>
                <w:iCs/>
                <w:color w:val="000000"/>
                <w:sz w:val="22"/>
                <w:szCs w:val="22"/>
                <w:u w:val="single"/>
              </w:rPr>
              <w:t xml:space="preserve">Determinación </w:t>
            </w:r>
            <w:r w:rsidR="00E94DD9" w:rsidRPr="00B36AA9">
              <w:rPr>
                <w:rFonts w:ascii="Arial Narrow" w:hAnsi="Arial Narrow" w:cs="Arial"/>
                <w:b/>
                <w:bCs/>
                <w:iCs/>
                <w:color w:val="000000"/>
                <w:sz w:val="22"/>
                <w:szCs w:val="22"/>
                <w:u w:val="single"/>
              </w:rPr>
              <w:t>del ámbito de aplicación del proyecto normativo incluyendo las situaciones de hecho o de derecho, o territoriales dependiendo del tipo de acto.</w:t>
            </w:r>
          </w:p>
          <w:p w14:paraId="7CEC921D" w14:textId="31601D30" w:rsidR="004609C0" w:rsidRDefault="004609C0" w:rsidP="00B96775">
            <w:pPr>
              <w:ind w:left="357" w:right="470"/>
              <w:contextualSpacing/>
              <w:jc w:val="both"/>
              <w:rPr>
                <w:rFonts w:ascii="Arial Narrow" w:hAnsi="Arial Narrow" w:cs="Arial"/>
                <w:iCs/>
                <w:color w:val="000000"/>
                <w:sz w:val="22"/>
                <w:szCs w:val="22"/>
              </w:rPr>
            </w:pPr>
          </w:p>
          <w:p w14:paraId="70F10283" w14:textId="77777777" w:rsidR="00E24320" w:rsidRPr="00E24320" w:rsidRDefault="00E24320" w:rsidP="00E24320">
            <w:pPr>
              <w:ind w:left="357"/>
              <w:jc w:val="both"/>
              <w:rPr>
                <w:rFonts w:ascii="Arial Narrow" w:hAnsi="Arial Narrow" w:cs="Arial"/>
                <w:sz w:val="22"/>
                <w:szCs w:val="22"/>
              </w:rPr>
            </w:pPr>
            <w:r w:rsidRPr="00E24320">
              <w:rPr>
                <w:rFonts w:ascii="Arial Narrow" w:hAnsi="Arial Narrow" w:cs="Arial"/>
                <w:sz w:val="22"/>
                <w:szCs w:val="22"/>
              </w:rPr>
              <w:t>La resolución aplica a quienes ostenten la calidad de distribuidor, comercializador, consumidor, Montallantas, gestor o productor de llantas, así como a quienes importen, fabriquen o ensamblen vehículos, de conformidad con las condiciones establecidas en la regulación. Igualmente, sus disposiciones se aplican a la Autoridad Nacional de Licencias Ambientales (ANLA), a las autoridades ambientales urbanas y regionales y a los municipios y distritos, en el marco de sus respectivas funciones y competencias legales.</w:t>
            </w:r>
          </w:p>
          <w:p w14:paraId="68FA4BD5" w14:textId="77777777" w:rsidR="00E24320" w:rsidRPr="00E24320" w:rsidRDefault="00E24320" w:rsidP="00E24320">
            <w:pPr>
              <w:ind w:left="357"/>
              <w:jc w:val="both"/>
              <w:rPr>
                <w:rFonts w:ascii="Arial Narrow" w:hAnsi="Arial Narrow" w:cs="Arial"/>
                <w:sz w:val="22"/>
                <w:szCs w:val="22"/>
              </w:rPr>
            </w:pPr>
          </w:p>
          <w:p w14:paraId="653C081D" w14:textId="77777777" w:rsidR="00E24320" w:rsidRPr="00E24320" w:rsidRDefault="00E24320" w:rsidP="00E24320">
            <w:pPr>
              <w:ind w:left="357"/>
              <w:jc w:val="both"/>
              <w:rPr>
                <w:rFonts w:ascii="Arial Narrow" w:hAnsi="Arial Narrow" w:cs="Arial"/>
                <w:sz w:val="22"/>
                <w:szCs w:val="22"/>
              </w:rPr>
            </w:pPr>
            <w:r w:rsidRPr="00E24320">
              <w:rPr>
                <w:rFonts w:ascii="Arial Narrow" w:hAnsi="Arial Narrow" w:cs="Arial"/>
                <w:sz w:val="22"/>
                <w:szCs w:val="22"/>
              </w:rPr>
              <w:t xml:space="preserve">La aplicación de las disposiciones se determina con base en las actividades y cantidades de llantas o vehículos previstas en el artículo 3 de la Resolución 1326 de 2017, de acuerdo con los umbrales establecidos en las Tablas 1 y 2 y los tipos de llantas y </w:t>
            </w:r>
            <w:r w:rsidRPr="00E24320">
              <w:rPr>
                <w:rFonts w:ascii="Arial Narrow" w:hAnsi="Arial Narrow" w:cs="Arial"/>
                <w:sz w:val="22"/>
                <w:szCs w:val="22"/>
              </w:rPr>
              <w:lastRenderedPageBreak/>
              <w:t>vehículos correspondientes a las partidas y subpartidas arancelarias del Anexo VII. En consecuencia, se encuentran comprendidas las actividades de comercialización, distribución, importación, fabricación, ensamblaje, gestión y uso de llantas o vehículos cuando se configuren las condiciones y cantidades establecidas en la regulación.</w:t>
            </w:r>
          </w:p>
          <w:p w14:paraId="4B10234A" w14:textId="77777777" w:rsidR="00E24320" w:rsidRPr="00E24320" w:rsidRDefault="00E24320" w:rsidP="00E24320">
            <w:pPr>
              <w:ind w:left="357"/>
              <w:jc w:val="both"/>
              <w:rPr>
                <w:rFonts w:ascii="Arial Narrow" w:hAnsi="Arial Narrow" w:cs="Arial"/>
                <w:sz w:val="22"/>
                <w:szCs w:val="22"/>
              </w:rPr>
            </w:pPr>
          </w:p>
          <w:p w14:paraId="77224E50" w14:textId="4526B728" w:rsidR="00C46511" w:rsidRDefault="00E24320" w:rsidP="00E24320">
            <w:pPr>
              <w:ind w:left="357"/>
              <w:jc w:val="both"/>
              <w:rPr>
                <w:rFonts w:ascii="Arial Narrow" w:hAnsi="Arial Narrow"/>
                <w:sz w:val="22"/>
                <w:szCs w:val="22"/>
              </w:rPr>
            </w:pPr>
            <w:r w:rsidRPr="00E24320">
              <w:rPr>
                <w:rFonts w:ascii="Arial Narrow" w:hAnsi="Arial Narrow" w:cs="Arial"/>
                <w:sz w:val="22"/>
                <w:szCs w:val="22"/>
              </w:rPr>
              <w:t>Las disposiciones aplican en todo el territorio nacional, incluyendo los municipios y distritos de las diferentes categorías territoriales, sin distinción por su tamaño poblacional, capacidad institucional o ubicación geográfica.</w:t>
            </w:r>
          </w:p>
          <w:p w14:paraId="6C20ED3E" w14:textId="77777777" w:rsidR="00421F3A" w:rsidRPr="00B96775" w:rsidRDefault="00421F3A" w:rsidP="0036334F">
            <w:pPr>
              <w:ind w:right="470"/>
              <w:jc w:val="both"/>
              <w:rPr>
                <w:rFonts w:ascii="Arial Narrow" w:hAnsi="Arial Narrow" w:cs="Arial"/>
                <w:iCs/>
                <w:color w:val="000000"/>
                <w:sz w:val="22"/>
                <w:szCs w:val="22"/>
              </w:rPr>
            </w:pPr>
          </w:p>
          <w:p w14:paraId="5AB023BE" w14:textId="77777777" w:rsidR="00E94DD9" w:rsidRPr="0036334F" w:rsidRDefault="00E94DD9" w:rsidP="00B96775">
            <w:pPr>
              <w:numPr>
                <w:ilvl w:val="0"/>
                <w:numId w:val="12"/>
              </w:numPr>
              <w:ind w:left="357" w:right="470"/>
              <w:contextualSpacing/>
              <w:jc w:val="both"/>
              <w:rPr>
                <w:rFonts w:ascii="Arial Narrow" w:hAnsi="Arial Narrow" w:cs="Arial"/>
                <w:b/>
                <w:bCs/>
                <w:iCs/>
                <w:color w:val="000000"/>
                <w:sz w:val="22"/>
                <w:szCs w:val="22"/>
                <w:u w:val="single"/>
              </w:rPr>
            </w:pPr>
            <w:bookmarkStart w:id="6" w:name="_Hlk235466002"/>
            <w:r w:rsidRPr="0036334F">
              <w:rPr>
                <w:rFonts w:ascii="Arial Narrow" w:hAnsi="Arial Narrow" w:cs="Arial"/>
                <w:b/>
                <w:bCs/>
                <w:iCs/>
                <w:color w:val="000000"/>
                <w:sz w:val="22"/>
                <w:szCs w:val="22"/>
                <w:u w:val="single"/>
              </w:rPr>
              <w:t>Determinación concreta de los sujetos a los que van dirigidos los efectos normativos del proyecto, y, garantizar que el lenguaje se adecúe en función de los destinatarios.</w:t>
            </w:r>
          </w:p>
          <w:p w14:paraId="46E07932" w14:textId="77777777" w:rsidR="0036334F" w:rsidRDefault="0036334F" w:rsidP="0054600C">
            <w:pPr>
              <w:jc w:val="both"/>
              <w:rPr>
                <w:rFonts w:ascii="Arial Narrow" w:hAnsi="Arial Narrow"/>
                <w:sz w:val="22"/>
                <w:szCs w:val="22"/>
              </w:rPr>
            </w:pPr>
          </w:p>
          <w:p w14:paraId="6C830D8A" w14:textId="64F811DC" w:rsidR="0036334F" w:rsidRDefault="000E0081" w:rsidP="0036334F">
            <w:pPr>
              <w:ind w:left="357"/>
              <w:jc w:val="both"/>
              <w:rPr>
                <w:rFonts w:ascii="Arial Narrow" w:hAnsi="Arial Narrow"/>
                <w:sz w:val="22"/>
                <w:szCs w:val="22"/>
              </w:rPr>
            </w:pPr>
            <w:r w:rsidRPr="000E0081">
              <w:rPr>
                <w:rFonts w:ascii="Arial Narrow" w:hAnsi="Arial Narrow"/>
                <w:sz w:val="22"/>
                <w:szCs w:val="22"/>
              </w:rPr>
              <w:t xml:space="preserve">Los sujetos a los que va dirigido el presente proyecto normativo son: quienes conforman los Sistemas de Recolección Selectiva y Gestión Ambiental de Llantas Usadas; las autoridades ambientales </w:t>
            </w:r>
            <w:r w:rsidR="00197826">
              <w:rPr>
                <w:rFonts w:ascii="Arial Narrow" w:hAnsi="Arial Narrow"/>
                <w:sz w:val="22"/>
                <w:szCs w:val="22"/>
              </w:rPr>
              <w:t xml:space="preserve">regionales, </w:t>
            </w:r>
            <w:r w:rsidRPr="000E0081">
              <w:rPr>
                <w:rFonts w:ascii="Arial Narrow" w:hAnsi="Arial Narrow"/>
                <w:sz w:val="22"/>
                <w:szCs w:val="22"/>
              </w:rPr>
              <w:t xml:space="preserve">con funciones de control y seguimiento sobre el manejo de las llantas usadas; </w:t>
            </w:r>
            <w:r w:rsidR="00197826">
              <w:rPr>
                <w:rFonts w:ascii="Arial Narrow" w:hAnsi="Arial Narrow"/>
                <w:sz w:val="22"/>
                <w:szCs w:val="22"/>
              </w:rPr>
              <w:t xml:space="preserve">los municipio y distritos </w:t>
            </w:r>
            <w:r w:rsidRPr="000E0081">
              <w:rPr>
                <w:rFonts w:ascii="Arial Narrow" w:hAnsi="Arial Narrow"/>
                <w:sz w:val="22"/>
                <w:szCs w:val="22"/>
              </w:rPr>
              <w:t xml:space="preserve">y los montallantas.  </w:t>
            </w:r>
          </w:p>
          <w:p w14:paraId="2902C44F" w14:textId="77777777" w:rsidR="000E0081" w:rsidRDefault="000E0081" w:rsidP="0036334F">
            <w:pPr>
              <w:ind w:left="357"/>
              <w:jc w:val="both"/>
              <w:rPr>
                <w:rStyle w:val="Textoennegrita"/>
                <w:rFonts w:ascii="Arial Narrow" w:hAnsi="Arial Narrow" w:cs="Arial"/>
                <w:sz w:val="22"/>
                <w:szCs w:val="22"/>
              </w:rPr>
            </w:pPr>
          </w:p>
          <w:p w14:paraId="22C99792" w14:textId="105E72E7" w:rsidR="00B7582D" w:rsidRPr="00B7582D" w:rsidRDefault="00B7582D" w:rsidP="00B7582D">
            <w:pPr>
              <w:ind w:left="357"/>
              <w:jc w:val="both"/>
              <w:rPr>
                <w:rStyle w:val="Textoennegrita"/>
                <w:rFonts w:ascii="Arial Narrow" w:hAnsi="Arial Narrow" w:cs="Arial"/>
                <w:sz w:val="22"/>
                <w:szCs w:val="22"/>
              </w:rPr>
            </w:pPr>
            <w:r w:rsidRPr="00B7582D">
              <w:rPr>
                <w:rStyle w:val="Textoennegrita"/>
                <w:rFonts w:ascii="Arial Narrow" w:hAnsi="Arial Narrow" w:cs="Arial"/>
                <w:sz w:val="22"/>
                <w:szCs w:val="22"/>
              </w:rPr>
              <w:t xml:space="preserve">Consumidor. </w:t>
            </w:r>
            <w:r w:rsidRPr="00B7582D">
              <w:rPr>
                <w:rStyle w:val="Textoennegrita"/>
                <w:rFonts w:ascii="Arial Narrow" w:hAnsi="Arial Narrow" w:cs="Arial"/>
                <w:b w:val="0"/>
                <w:bCs w:val="0"/>
                <w:sz w:val="22"/>
                <w:szCs w:val="22"/>
              </w:rPr>
              <w:t>Persona natural o jurídica que adquiera llantas para satisfacción de una necesidad como destinatario final.</w:t>
            </w:r>
          </w:p>
          <w:p w14:paraId="2AC871EA" w14:textId="25D75863" w:rsidR="00B7582D" w:rsidRPr="00B7582D" w:rsidRDefault="00B7582D" w:rsidP="00B7582D">
            <w:pPr>
              <w:ind w:left="357"/>
              <w:jc w:val="both"/>
              <w:rPr>
                <w:rStyle w:val="Textoennegrita"/>
                <w:rFonts w:ascii="Arial Narrow" w:hAnsi="Arial Narrow" w:cs="Arial"/>
                <w:sz w:val="22"/>
                <w:szCs w:val="22"/>
              </w:rPr>
            </w:pPr>
          </w:p>
          <w:p w14:paraId="10B03385" w14:textId="4F4E9070" w:rsidR="000E0081" w:rsidRPr="00B7582D" w:rsidRDefault="00B7582D" w:rsidP="00B7582D">
            <w:pPr>
              <w:ind w:left="357"/>
              <w:jc w:val="both"/>
              <w:rPr>
                <w:rStyle w:val="Textoennegrita"/>
                <w:rFonts w:ascii="Arial Narrow" w:hAnsi="Arial Narrow" w:cs="Arial"/>
                <w:b w:val="0"/>
                <w:bCs w:val="0"/>
                <w:sz w:val="22"/>
                <w:szCs w:val="22"/>
              </w:rPr>
            </w:pPr>
            <w:r w:rsidRPr="00B7582D">
              <w:rPr>
                <w:rStyle w:val="Textoennegrita"/>
                <w:rFonts w:ascii="Arial Narrow" w:hAnsi="Arial Narrow" w:cs="Arial"/>
                <w:sz w:val="22"/>
                <w:szCs w:val="22"/>
              </w:rPr>
              <w:t xml:space="preserve">Distribuidor y comercializador. </w:t>
            </w:r>
            <w:r w:rsidRPr="00B7582D">
              <w:rPr>
                <w:rStyle w:val="Textoennegrita"/>
                <w:rFonts w:ascii="Arial Narrow" w:hAnsi="Arial Narrow" w:cs="Arial"/>
                <w:b w:val="0"/>
                <w:bCs w:val="0"/>
                <w:sz w:val="22"/>
                <w:szCs w:val="22"/>
              </w:rPr>
              <w:t>Persona natural o jurídica que distribuye o comercializa llantas al por mayor o al detal.</w:t>
            </w:r>
          </w:p>
          <w:p w14:paraId="0DF60D7B" w14:textId="77777777" w:rsidR="00B7582D" w:rsidRPr="00B7582D" w:rsidRDefault="00B7582D" w:rsidP="0036334F">
            <w:pPr>
              <w:pStyle w:val="Textoindependiente2"/>
              <w:spacing w:after="0" w:line="240" w:lineRule="auto"/>
              <w:ind w:left="357"/>
              <w:jc w:val="both"/>
              <w:rPr>
                <w:rStyle w:val="Textoennegrita"/>
                <w:rFonts w:ascii="Arial Narrow" w:hAnsi="Arial Narrow" w:cs="Arial"/>
                <w:b w:val="0"/>
                <w:bCs w:val="0"/>
                <w:sz w:val="22"/>
                <w:szCs w:val="22"/>
              </w:rPr>
            </w:pPr>
          </w:p>
          <w:p w14:paraId="31198716" w14:textId="4C00CF94" w:rsidR="00B7582D" w:rsidRDefault="00B7582D" w:rsidP="00B7582D">
            <w:pPr>
              <w:pStyle w:val="Textoindependiente2"/>
              <w:spacing w:after="0" w:line="240" w:lineRule="auto"/>
              <w:ind w:left="357"/>
              <w:jc w:val="both"/>
              <w:rPr>
                <w:rStyle w:val="Textoennegrita"/>
                <w:rFonts w:ascii="Arial Narrow" w:hAnsi="Arial Narrow" w:cs="Arial"/>
                <w:b w:val="0"/>
                <w:bCs w:val="0"/>
                <w:sz w:val="22"/>
                <w:szCs w:val="22"/>
              </w:rPr>
            </w:pPr>
            <w:r w:rsidRPr="00B7582D">
              <w:rPr>
                <w:rStyle w:val="Textoennegrita"/>
                <w:rFonts w:ascii="Arial Narrow" w:hAnsi="Arial Narrow" w:cs="Arial"/>
                <w:sz w:val="22"/>
                <w:szCs w:val="22"/>
              </w:rPr>
              <w:t xml:space="preserve">Gestor de Llantas Usadas. </w:t>
            </w:r>
            <w:r w:rsidRPr="00B7582D">
              <w:rPr>
                <w:rStyle w:val="Textoennegrita"/>
                <w:rFonts w:ascii="Arial Narrow" w:hAnsi="Arial Narrow" w:cs="Arial"/>
                <w:b w:val="0"/>
                <w:bCs w:val="0"/>
                <w:sz w:val="22"/>
                <w:szCs w:val="22"/>
              </w:rPr>
              <w:t>Persona natural o jurídica que realiza actividades</w:t>
            </w:r>
            <w:r>
              <w:rPr>
                <w:rStyle w:val="Textoennegrita"/>
                <w:rFonts w:ascii="Arial Narrow" w:hAnsi="Arial Narrow" w:cs="Arial"/>
                <w:b w:val="0"/>
                <w:bCs w:val="0"/>
                <w:sz w:val="22"/>
                <w:szCs w:val="22"/>
              </w:rPr>
              <w:t xml:space="preserve"> </w:t>
            </w:r>
            <w:r w:rsidRPr="00B7582D">
              <w:rPr>
                <w:rStyle w:val="Textoennegrita"/>
                <w:rFonts w:ascii="Arial Narrow" w:hAnsi="Arial Narrow" w:cs="Arial"/>
                <w:b w:val="0"/>
                <w:bCs w:val="0"/>
                <w:sz w:val="22"/>
                <w:szCs w:val="22"/>
              </w:rPr>
              <w:t>de reencauche, almacenamiento y aprovechamiento de llantas usadas.</w:t>
            </w:r>
          </w:p>
          <w:p w14:paraId="56283E20" w14:textId="77777777" w:rsidR="00B7582D" w:rsidRDefault="00B7582D" w:rsidP="00B7582D">
            <w:pPr>
              <w:pStyle w:val="Textoindependiente2"/>
              <w:spacing w:after="0" w:line="240" w:lineRule="auto"/>
              <w:ind w:left="357"/>
              <w:jc w:val="both"/>
              <w:rPr>
                <w:rStyle w:val="Textoennegrita"/>
                <w:rFonts w:ascii="Arial Narrow" w:hAnsi="Arial Narrow" w:cs="Arial"/>
                <w:b w:val="0"/>
                <w:bCs w:val="0"/>
                <w:sz w:val="22"/>
                <w:szCs w:val="22"/>
              </w:rPr>
            </w:pPr>
          </w:p>
          <w:p w14:paraId="5A8C6403" w14:textId="233AF681" w:rsidR="007A200E" w:rsidRPr="0036334F" w:rsidRDefault="00B7582D" w:rsidP="00B7582D">
            <w:pPr>
              <w:pStyle w:val="Textoindependiente2"/>
              <w:spacing w:line="240" w:lineRule="auto"/>
              <w:ind w:left="357"/>
              <w:jc w:val="both"/>
              <w:rPr>
                <w:rFonts w:ascii="Arial Narrow" w:hAnsi="Arial Narrow" w:cs="Arial"/>
                <w:sz w:val="22"/>
                <w:szCs w:val="22"/>
              </w:rPr>
            </w:pPr>
            <w:r>
              <w:rPr>
                <w:rFonts w:ascii="Arial Narrow" w:hAnsi="Arial Narrow"/>
                <w:b/>
                <w:bCs/>
                <w:sz w:val="22"/>
                <w:szCs w:val="22"/>
              </w:rPr>
              <w:t>M</w:t>
            </w:r>
            <w:r w:rsidR="007A200E" w:rsidRPr="0036334F">
              <w:rPr>
                <w:rFonts w:ascii="Arial Narrow" w:hAnsi="Arial Narrow"/>
                <w:b/>
                <w:bCs/>
                <w:sz w:val="22"/>
                <w:szCs w:val="22"/>
              </w:rPr>
              <w:t>ontallantas:</w:t>
            </w:r>
            <w:r w:rsidR="007A200E" w:rsidRPr="0036334F">
              <w:rPr>
                <w:rFonts w:ascii="Arial Narrow" w:hAnsi="Arial Narrow"/>
                <w:sz w:val="22"/>
                <w:szCs w:val="22"/>
              </w:rPr>
              <w:t xml:space="preserve"> Quienes deberán entregar las llantas usadas a los Sistemas de Recolección Selectiva y Gestión Ambiental de llantas Usadas o a los puntos de recolección o mecanismos equivalentes de recolección definidos por los sistemas en los municipios donde realizan su actividad y quienes a partir de la expedición del presente acto administrativo, deberán diligenciar el anexo VI “Cantidad de llantas usadas entregadas a Sistemas de Recolección Selectiva y Gestión Ambiental de llantas Usadas por los montallantas” y entregar copia de dicho documento al alcalde del municipio donde este ubicado el montallantas, de acuerdo a los periodos establecidos</w:t>
            </w:r>
          </w:p>
          <w:p w14:paraId="7DF8A293" w14:textId="77777777" w:rsidR="00B7582D" w:rsidRDefault="00B7582D" w:rsidP="00B7582D">
            <w:pPr>
              <w:ind w:left="357"/>
              <w:jc w:val="both"/>
              <w:rPr>
                <w:rStyle w:val="Textoennegrita"/>
                <w:rFonts w:ascii="Arial Narrow" w:hAnsi="Arial Narrow" w:cs="Arial"/>
                <w:sz w:val="22"/>
                <w:szCs w:val="22"/>
              </w:rPr>
            </w:pPr>
            <w:r w:rsidRPr="000E0081">
              <w:rPr>
                <w:rStyle w:val="Textoennegrita"/>
                <w:rFonts w:ascii="Arial Narrow" w:hAnsi="Arial Narrow" w:cs="Arial"/>
                <w:sz w:val="22"/>
                <w:szCs w:val="22"/>
              </w:rPr>
              <w:t xml:space="preserve">Productor de llantas. </w:t>
            </w:r>
            <w:r w:rsidRPr="000E0081">
              <w:rPr>
                <w:rStyle w:val="Textoennegrita"/>
                <w:rFonts w:ascii="Arial Narrow" w:hAnsi="Arial Narrow" w:cs="Arial"/>
                <w:b w:val="0"/>
                <w:bCs w:val="0"/>
                <w:sz w:val="22"/>
                <w:szCs w:val="22"/>
              </w:rPr>
              <w:t>Persona natural o jurídica que con independencia de la técnica de venta utilizada: a) Fabrique llantas que sean puestas en el mercado nacional con marca propia. b) Ponga en el mercado con marca propia, llantas fabricadas por terceros. c) Importe llantas para poner en el mercado nacional. d) Importe vehículos de que trata la presente resolución en cualquiera de sus modalidades con sus llantas. e) Fabrique o ensamble vehículos que sean puestos en el mercado nacional siempre y cuando importe las llantas para los mismos</w:t>
            </w:r>
            <w:r w:rsidRPr="000E0081">
              <w:rPr>
                <w:rStyle w:val="Textoennegrita"/>
                <w:rFonts w:ascii="Arial Narrow" w:hAnsi="Arial Narrow" w:cs="Arial"/>
                <w:sz w:val="22"/>
                <w:szCs w:val="22"/>
              </w:rPr>
              <w:t>.</w:t>
            </w:r>
          </w:p>
          <w:p w14:paraId="7A2C7761" w14:textId="77777777" w:rsidR="0036334F" w:rsidRPr="0036334F" w:rsidRDefault="0036334F" w:rsidP="0036334F">
            <w:pPr>
              <w:pStyle w:val="Textoindependiente2"/>
              <w:spacing w:after="0" w:line="240" w:lineRule="auto"/>
              <w:ind w:left="357"/>
              <w:jc w:val="both"/>
              <w:rPr>
                <w:rFonts w:ascii="Arial Narrow" w:hAnsi="Arial Narrow" w:cs="Arial"/>
                <w:sz w:val="22"/>
                <w:szCs w:val="22"/>
              </w:rPr>
            </w:pPr>
          </w:p>
          <w:p w14:paraId="654AD61C" w14:textId="52A25B36" w:rsidR="007B647A" w:rsidRPr="00027926" w:rsidRDefault="00027926" w:rsidP="0036334F">
            <w:pPr>
              <w:pStyle w:val="Textoindependiente2"/>
              <w:spacing w:after="0" w:line="240" w:lineRule="auto"/>
              <w:ind w:left="357"/>
              <w:jc w:val="both"/>
              <w:rPr>
                <w:rFonts w:ascii="Arial Narrow" w:hAnsi="Arial Narrow" w:cs="Arial"/>
                <w:sz w:val="22"/>
                <w:szCs w:val="22"/>
              </w:rPr>
            </w:pPr>
            <w:r>
              <w:rPr>
                <w:rFonts w:ascii="Arial Narrow" w:hAnsi="Arial Narrow" w:cs="Arial"/>
                <w:b/>
                <w:bCs/>
                <w:sz w:val="22"/>
                <w:szCs w:val="22"/>
              </w:rPr>
              <w:t>M</w:t>
            </w:r>
            <w:r w:rsidR="0036334F" w:rsidRPr="0036334F">
              <w:rPr>
                <w:rFonts w:ascii="Arial Narrow" w:hAnsi="Arial Narrow" w:cs="Arial"/>
                <w:b/>
                <w:bCs/>
                <w:sz w:val="22"/>
                <w:szCs w:val="22"/>
              </w:rPr>
              <w:t>unicipios</w:t>
            </w:r>
            <w:r>
              <w:rPr>
                <w:rFonts w:ascii="Arial Narrow" w:hAnsi="Arial Narrow" w:cs="Arial"/>
                <w:b/>
                <w:bCs/>
                <w:sz w:val="22"/>
                <w:szCs w:val="22"/>
              </w:rPr>
              <w:t xml:space="preserve">. </w:t>
            </w:r>
            <w:r w:rsidRPr="00027926">
              <w:rPr>
                <w:rFonts w:ascii="Arial Narrow" w:hAnsi="Arial Narrow" w:cs="Arial"/>
                <w:sz w:val="22"/>
                <w:szCs w:val="22"/>
              </w:rPr>
              <w:t>El municipio es la entidad territorial fundamental de la división político administrativa del Estado, con autonomía política, fiscal y administrativa, dentro de los límites que señalen la Constitución y la ley y cuya finalidad es el bienestar general y el mejoramiento de la calidad de vida de la población en su respectivo territorio.</w:t>
            </w:r>
            <w:r>
              <w:rPr>
                <w:rFonts w:ascii="Arial Narrow" w:hAnsi="Arial Narrow" w:cs="Arial"/>
                <w:sz w:val="22"/>
                <w:szCs w:val="22"/>
              </w:rPr>
              <w:t xml:space="preserve"> L</w:t>
            </w:r>
            <w:r w:rsidRPr="00027926">
              <w:rPr>
                <w:rFonts w:ascii="Arial Narrow" w:hAnsi="Arial Narrow" w:cs="Arial"/>
                <w:sz w:val="22"/>
                <w:szCs w:val="22"/>
              </w:rPr>
              <w:t>ey 136 de 1994</w:t>
            </w:r>
          </w:p>
          <w:p w14:paraId="00DB114A" w14:textId="77777777" w:rsidR="007B647A" w:rsidRDefault="007B647A" w:rsidP="0036334F">
            <w:pPr>
              <w:pStyle w:val="Textoindependiente2"/>
              <w:spacing w:after="0" w:line="240" w:lineRule="auto"/>
              <w:ind w:left="357"/>
              <w:jc w:val="both"/>
              <w:rPr>
                <w:rFonts w:ascii="Arial Narrow" w:hAnsi="Arial Narrow" w:cs="Arial"/>
                <w:b/>
                <w:bCs/>
                <w:sz w:val="22"/>
                <w:szCs w:val="22"/>
              </w:rPr>
            </w:pPr>
          </w:p>
          <w:p w14:paraId="11F44EED" w14:textId="18E65323" w:rsidR="0036334F" w:rsidRDefault="007B647A" w:rsidP="0036334F">
            <w:pPr>
              <w:pStyle w:val="Textoindependiente2"/>
              <w:spacing w:after="0" w:line="240" w:lineRule="auto"/>
              <w:ind w:left="357"/>
              <w:jc w:val="both"/>
              <w:rPr>
                <w:rFonts w:ascii="Arial Narrow" w:hAnsi="Arial Narrow" w:cs="Arial"/>
                <w:sz w:val="22"/>
                <w:szCs w:val="22"/>
              </w:rPr>
            </w:pPr>
            <w:r>
              <w:rPr>
                <w:rFonts w:ascii="Arial Narrow" w:hAnsi="Arial Narrow" w:cs="Arial"/>
                <w:b/>
                <w:bCs/>
                <w:sz w:val="22"/>
                <w:szCs w:val="22"/>
              </w:rPr>
              <w:t>D</w:t>
            </w:r>
            <w:r w:rsidR="0036334F" w:rsidRPr="0036334F">
              <w:rPr>
                <w:rFonts w:ascii="Arial Narrow" w:hAnsi="Arial Narrow" w:cs="Arial"/>
                <w:b/>
                <w:bCs/>
                <w:sz w:val="22"/>
                <w:szCs w:val="22"/>
              </w:rPr>
              <w:t>istritos:</w:t>
            </w:r>
            <w:r w:rsidR="0036334F" w:rsidRPr="0036334F">
              <w:rPr>
                <w:rFonts w:ascii="Arial Narrow" w:hAnsi="Arial Narrow" w:cs="Arial"/>
                <w:sz w:val="22"/>
                <w:szCs w:val="22"/>
              </w:rPr>
              <w:t xml:space="preserve"> </w:t>
            </w:r>
            <w:r w:rsidRPr="007B647A">
              <w:rPr>
                <w:rFonts w:ascii="Arial Narrow" w:hAnsi="Arial Narrow" w:cs="Arial"/>
                <w:sz w:val="22"/>
                <w:szCs w:val="22"/>
              </w:rPr>
              <w:t>Los distritos son entidades territoriales organizadas de conformidad con lo previsto en la Constitución Política, que se encuentran sujetos a un régimen especial, en virtud del cual sus órganos y autoridades gozan de facultades especiales diferentes a las contempladas dentro del régimen ordinario aplicable a los demás municipios del país, así como del que rige para las otras entidades territoriales establecidas dentro de la estructura político administrativa del Estado colombiano.</w:t>
            </w:r>
            <w:r>
              <w:rPr>
                <w:rFonts w:ascii="Arial Narrow" w:hAnsi="Arial Narrow" w:cs="Arial"/>
                <w:sz w:val="22"/>
                <w:szCs w:val="22"/>
              </w:rPr>
              <w:t xml:space="preserve"> </w:t>
            </w:r>
            <w:r w:rsidRPr="007B647A">
              <w:rPr>
                <w:rFonts w:ascii="Arial Narrow" w:hAnsi="Arial Narrow" w:cs="Arial"/>
                <w:sz w:val="22"/>
                <w:szCs w:val="22"/>
              </w:rPr>
              <w:t>Ley 1617 de 2013</w:t>
            </w:r>
          </w:p>
          <w:p w14:paraId="30B25653" w14:textId="77777777" w:rsidR="007B647A" w:rsidRDefault="007B647A" w:rsidP="0036334F">
            <w:pPr>
              <w:pStyle w:val="Textoindependiente2"/>
              <w:spacing w:after="0" w:line="240" w:lineRule="auto"/>
              <w:ind w:left="357"/>
              <w:jc w:val="both"/>
              <w:rPr>
                <w:rFonts w:ascii="Arial Narrow" w:hAnsi="Arial Narrow" w:cs="Arial"/>
                <w:b/>
                <w:bCs/>
                <w:sz w:val="22"/>
                <w:szCs w:val="22"/>
              </w:rPr>
            </w:pPr>
          </w:p>
          <w:p w14:paraId="4B777ABD" w14:textId="1F6EC716" w:rsidR="0036334F" w:rsidRPr="0036334F" w:rsidRDefault="0036334F" w:rsidP="0036334F">
            <w:pPr>
              <w:pStyle w:val="Textoindependiente2"/>
              <w:spacing w:after="0" w:line="240" w:lineRule="auto"/>
              <w:ind w:left="357"/>
              <w:jc w:val="both"/>
              <w:rPr>
                <w:rFonts w:ascii="Arial Narrow" w:hAnsi="Arial Narrow" w:cs="Arial"/>
                <w:sz w:val="22"/>
                <w:szCs w:val="22"/>
              </w:rPr>
            </w:pPr>
            <w:r w:rsidRPr="0036334F">
              <w:rPr>
                <w:rFonts w:ascii="Arial Narrow" w:hAnsi="Arial Narrow" w:cs="Arial"/>
                <w:b/>
                <w:bCs/>
                <w:sz w:val="22"/>
                <w:szCs w:val="22"/>
              </w:rPr>
              <w:t xml:space="preserve">Autoridades Ambientales regionales: </w:t>
            </w:r>
            <w:r w:rsidR="007B647A" w:rsidRPr="007B647A">
              <w:rPr>
                <w:rFonts w:ascii="Arial Narrow" w:hAnsi="Arial Narrow" w:cs="Arial"/>
                <w:sz w:val="22"/>
                <w:szCs w:val="22"/>
              </w:rPr>
              <w:t xml:space="preserve">Las Corporaciones Autónomas Regionales son entes corporativos de carácter público, creados por la ley, integrados por las entidades territoriales que por sus características constituyen geográficamente un mismo ecosistema o conforman una unidad geopolítica, biogeográfica o </w:t>
            </w:r>
            <w:proofErr w:type="spellStart"/>
            <w:r w:rsidR="007B647A" w:rsidRPr="007B647A">
              <w:rPr>
                <w:rFonts w:ascii="Arial Narrow" w:hAnsi="Arial Narrow" w:cs="Arial"/>
                <w:sz w:val="22"/>
                <w:szCs w:val="22"/>
              </w:rPr>
              <w:t>hidrogeográfica</w:t>
            </w:r>
            <w:proofErr w:type="spellEnd"/>
            <w:r w:rsidR="007B647A" w:rsidRPr="007B647A">
              <w:rPr>
                <w:rFonts w:ascii="Arial Narrow" w:hAnsi="Arial Narrow" w:cs="Arial"/>
                <w:sz w:val="22"/>
                <w:szCs w:val="22"/>
              </w:rPr>
              <w:t xml:space="preserve">, dotados de autonomía administrativa y financiera, patrimonio propio y personería jurídica, encargados por la ley de administrar, dentro del área de su jurisdicción, el </w:t>
            </w:r>
            <w:r w:rsidR="007B647A" w:rsidRPr="007B647A">
              <w:rPr>
                <w:rFonts w:ascii="Arial Narrow" w:hAnsi="Arial Narrow" w:cs="Arial"/>
                <w:sz w:val="22"/>
                <w:szCs w:val="22"/>
              </w:rPr>
              <w:lastRenderedPageBreak/>
              <w:t>medio ambiente y los recursos naturales renovables y propender por su desarrollo sostenible, de conformidad con las disposiciones legales y las políticas del Ministerio del Medio Ambiente.</w:t>
            </w:r>
            <w:bookmarkEnd w:id="6"/>
            <w:r w:rsidR="007B647A">
              <w:rPr>
                <w:rFonts w:ascii="Arial Narrow" w:hAnsi="Arial Narrow" w:cs="Arial"/>
                <w:sz w:val="22"/>
                <w:szCs w:val="22"/>
              </w:rPr>
              <w:t xml:space="preserve"> Ley 99 de 1993</w:t>
            </w:r>
          </w:p>
          <w:p w14:paraId="578A6961" w14:textId="77777777" w:rsidR="0036334F" w:rsidRPr="00B96775" w:rsidRDefault="0036334F" w:rsidP="0036334F">
            <w:pPr>
              <w:ind w:right="470"/>
              <w:contextualSpacing/>
              <w:jc w:val="both"/>
              <w:rPr>
                <w:rFonts w:ascii="Arial Narrow" w:hAnsi="Arial Narrow" w:cs="Arial"/>
                <w:iCs/>
                <w:color w:val="000000"/>
                <w:sz w:val="22"/>
                <w:szCs w:val="22"/>
              </w:rPr>
            </w:pPr>
          </w:p>
          <w:p w14:paraId="6EF08247" w14:textId="7C6B59F6" w:rsidR="00E94DD9" w:rsidRPr="0036334F" w:rsidRDefault="00E94DD9" w:rsidP="00B96775">
            <w:pPr>
              <w:numPr>
                <w:ilvl w:val="0"/>
                <w:numId w:val="12"/>
              </w:numPr>
              <w:ind w:left="357" w:right="470"/>
              <w:contextualSpacing/>
              <w:jc w:val="both"/>
              <w:rPr>
                <w:rFonts w:ascii="Arial Narrow" w:hAnsi="Arial Narrow" w:cs="Arial"/>
                <w:b/>
                <w:bCs/>
                <w:iCs/>
                <w:color w:val="000000"/>
                <w:sz w:val="22"/>
                <w:szCs w:val="22"/>
                <w:u w:val="single"/>
              </w:rPr>
            </w:pPr>
            <w:r w:rsidRPr="0036334F">
              <w:rPr>
                <w:rFonts w:ascii="Arial Narrow" w:hAnsi="Arial Narrow" w:cs="Arial"/>
                <w:b/>
                <w:bCs/>
                <w:iCs/>
                <w:color w:val="000000"/>
                <w:sz w:val="22"/>
                <w:szCs w:val="22"/>
                <w:u w:val="single"/>
              </w:rPr>
              <w:t>La viabilidad jurídica del proyecto, incluyendo cualquier observación o advertencia de cualquier circunstancia jurídica que pueda ser relevante para la validez o efectividad del proyecto normativo. En tal sentido, se deberá indicar si el proyecto normativo se ajusta a la Constitución Política y a la Ley, y de ser procedente si se está ajustando a algún pronunciamiento jurisprudencial.</w:t>
            </w:r>
          </w:p>
          <w:p w14:paraId="1BC2D442" w14:textId="11DDB603" w:rsidR="00E94DD9" w:rsidRPr="00B96775" w:rsidRDefault="00E94DD9" w:rsidP="00B96775">
            <w:pPr>
              <w:ind w:left="357" w:right="470"/>
              <w:contextualSpacing/>
              <w:jc w:val="both"/>
              <w:rPr>
                <w:rFonts w:ascii="Arial Narrow" w:hAnsi="Arial Narrow" w:cs="Arial"/>
                <w:iCs/>
                <w:color w:val="000000"/>
                <w:sz w:val="22"/>
                <w:szCs w:val="22"/>
              </w:rPr>
            </w:pPr>
          </w:p>
          <w:p w14:paraId="319DB562" w14:textId="0CA1A48E" w:rsidR="0036334F" w:rsidRPr="00225B45" w:rsidRDefault="0036334F" w:rsidP="00225B45">
            <w:pPr>
              <w:ind w:left="357"/>
              <w:jc w:val="both"/>
              <w:rPr>
                <w:rFonts w:ascii="Arial Narrow" w:hAnsi="Arial Narrow" w:cs="Arial"/>
                <w:sz w:val="22"/>
                <w:szCs w:val="22"/>
              </w:rPr>
            </w:pPr>
            <w:r w:rsidRPr="0036334F">
              <w:rPr>
                <w:rFonts w:ascii="Arial Narrow" w:hAnsi="Arial Narrow" w:cs="Arial"/>
                <w:iCs/>
                <w:color w:val="000000"/>
                <w:sz w:val="22"/>
                <w:szCs w:val="22"/>
              </w:rPr>
              <w:t xml:space="preserve">Con el presente proyecto normativo no se encuentra alguna observación o advertencia de cualquier circunstancia jurídica que pueda ser relevante para su validez o efectividad. Lo anterior considerando que éste se ajusta a lo establecido en </w:t>
            </w:r>
            <w:r w:rsidRPr="0036334F">
              <w:rPr>
                <w:rFonts w:ascii="Arial Narrow" w:hAnsi="Arial Narrow" w:cs="Arial"/>
                <w:sz w:val="22"/>
                <w:szCs w:val="22"/>
              </w:rPr>
              <w:t xml:space="preserve">los artículos 79 y 80 de la Constitución Política, que consagran el derecho colectivo a gozar de un ambiente sano y el deber del Estado de proteger la diversidad e integridad del ambiente, planificar el manejo y aprovechamiento de los recursos naturales renovables a </w:t>
            </w:r>
            <w:r w:rsidRPr="00225B45">
              <w:rPr>
                <w:rFonts w:ascii="Arial Narrow" w:hAnsi="Arial Narrow" w:cs="Arial"/>
                <w:sz w:val="22"/>
                <w:szCs w:val="22"/>
              </w:rPr>
              <w:t>fin de garantizar su desarrollo sostenible, conservación, restauración o sustitución y prevenir los factores de deterioro ambiental.</w:t>
            </w:r>
          </w:p>
          <w:p w14:paraId="0A442DD2" w14:textId="77777777" w:rsidR="0036334F" w:rsidRPr="00225B45" w:rsidRDefault="0036334F" w:rsidP="00225B45">
            <w:pPr>
              <w:ind w:left="357"/>
              <w:jc w:val="both"/>
              <w:rPr>
                <w:rFonts w:ascii="Arial Narrow" w:hAnsi="Arial Narrow" w:cs="Arial"/>
                <w:sz w:val="22"/>
                <w:szCs w:val="22"/>
              </w:rPr>
            </w:pPr>
          </w:p>
          <w:p w14:paraId="1EEE4A6D" w14:textId="5F3D7E26" w:rsidR="0036334F" w:rsidRPr="00225B45" w:rsidRDefault="0036334F" w:rsidP="00225B45">
            <w:pPr>
              <w:ind w:left="357"/>
              <w:jc w:val="both"/>
              <w:rPr>
                <w:rFonts w:ascii="Arial Narrow" w:hAnsi="Arial Narrow" w:cs="Arial"/>
                <w:sz w:val="22"/>
                <w:szCs w:val="22"/>
              </w:rPr>
            </w:pPr>
            <w:r w:rsidRPr="00225B45">
              <w:rPr>
                <w:rFonts w:ascii="Arial Narrow" w:hAnsi="Arial Narrow" w:cs="Arial"/>
                <w:sz w:val="22"/>
                <w:szCs w:val="22"/>
              </w:rPr>
              <w:t>Así como a lo dispuesto en el artículo 8</w:t>
            </w:r>
            <w:r w:rsidR="0004371D" w:rsidRPr="00225B45">
              <w:rPr>
                <w:rFonts w:ascii="Arial Narrow" w:hAnsi="Arial Narrow" w:cs="Arial"/>
                <w:sz w:val="22"/>
                <w:szCs w:val="22"/>
              </w:rPr>
              <w:t xml:space="preserve"> y 34</w:t>
            </w:r>
            <w:r w:rsidRPr="00225B45">
              <w:rPr>
                <w:rFonts w:ascii="Arial Narrow" w:hAnsi="Arial Narrow" w:cs="Arial"/>
                <w:sz w:val="22"/>
                <w:szCs w:val="22"/>
              </w:rPr>
              <w:t xml:space="preserve"> del Decreto - Ley 2811 de 1974, en el cual se consideran factores que deterioran el ambiente, entre otros, la contaminación del aire, de las aguas, del suelo y de los demás recursos naturales renovables, la alteración perjudicial o antiestética de paisajes naturales y la acumulación o disposición inadecuada de residuos</w:t>
            </w:r>
            <w:r w:rsidR="0004371D" w:rsidRPr="00225B45">
              <w:rPr>
                <w:rFonts w:ascii="Arial Narrow" w:hAnsi="Arial Narrow" w:cs="Arial"/>
                <w:sz w:val="22"/>
                <w:szCs w:val="22"/>
              </w:rPr>
              <w:t xml:space="preserve"> y se</w:t>
            </w:r>
            <w:r w:rsidRPr="00225B45">
              <w:rPr>
                <w:rFonts w:ascii="Arial Narrow" w:hAnsi="Arial Narrow" w:cs="Arial"/>
                <w:sz w:val="22"/>
                <w:szCs w:val="22"/>
              </w:rPr>
              <w:t xml:space="preserve"> establece que “</w:t>
            </w:r>
            <w:r w:rsidRPr="00225B45">
              <w:rPr>
                <w:rFonts w:ascii="Arial Narrow" w:hAnsi="Arial Narrow" w:cs="Arial"/>
                <w:i/>
                <w:iCs/>
                <w:sz w:val="22"/>
                <w:szCs w:val="22"/>
              </w:rPr>
              <w:t>En el manejo de residuos, basuras, desechos y desperdicios, se observarán las siguientes reglas: a) Se utilizarán los mejores métodos, de acuerdo con los avances de la ciencia y la tecnología, para la recolección, tratamiento, procesamiento o disposición final de residuos, basuras, desperdicios y, en general, de desechos de cualquier clase; b) La investigación científica y técnica se fomentará para: (…) 2) Reintegrar al proceso natural y económico los desperdicios sólidos, líquidos y gaseosos, provenientes de industrias, actividades domésticas o de núcleos humanos en general (…)</w:t>
            </w:r>
            <w:r w:rsidRPr="00225B45">
              <w:rPr>
                <w:rFonts w:ascii="Arial Narrow" w:hAnsi="Arial Narrow" w:cs="Arial"/>
                <w:sz w:val="22"/>
                <w:szCs w:val="22"/>
              </w:rPr>
              <w:t>.”</w:t>
            </w:r>
            <w:r w:rsidR="0004371D" w:rsidRPr="00225B45">
              <w:rPr>
                <w:rFonts w:ascii="Arial Narrow" w:hAnsi="Arial Narrow" w:cs="Arial"/>
                <w:sz w:val="22"/>
                <w:szCs w:val="22"/>
              </w:rPr>
              <w:t>; respectivamente</w:t>
            </w:r>
          </w:p>
          <w:p w14:paraId="36AA0CDF" w14:textId="77777777" w:rsidR="0036334F" w:rsidRPr="00225B45" w:rsidRDefault="0036334F" w:rsidP="00225B45">
            <w:pPr>
              <w:ind w:left="357"/>
              <w:jc w:val="both"/>
              <w:rPr>
                <w:rFonts w:ascii="Arial Narrow" w:hAnsi="Arial Narrow" w:cs="Arial"/>
                <w:sz w:val="22"/>
                <w:szCs w:val="22"/>
              </w:rPr>
            </w:pPr>
          </w:p>
          <w:p w14:paraId="59B0F2DA" w14:textId="29766904" w:rsidR="0036334F" w:rsidRPr="00225B45" w:rsidRDefault="0004371D" w:rsidP="00225B45">
            <w:pPr>
              <w:ind w:left="357"/>
              <w:jc w:val="both"/>
              <w:rPr>
                <w:rFonts w:ascii="Arial Narrow" w:hAnsi="Arial Narrow" w:cs="Arial"/>
                <w:sz w:val="22"/>
                <w:szCs w:val="22"/>
              </w:rPr>
            </w:pPr>
            <w:r w:rsidRPr="00225B45">
              <w:rPr>
                <w:rFonts w:ascii="Arial Narrow" w:hAnsi="Arial Narrow" w:cs="Arial"/>
                <w:sz w:val="22"/>
                <w:szCs w:val="22"/>
              </w:rPr>
              <w:t xml:space="preserve">Así mismo el </w:t>
            </w:r>
            <w:r w:rsidR="0036334F" w:rsidRPr="00225B45">
              <w:rPr>
                <w:rFonts w:ascii="Arial Narrow" w:hAnsi="Arial Narrow" w:cs="Arial"/>
                <w:sz w:val="22"/>
                <w:szCs w:val="22"/>
              </w:rPr>
              <w:t>artículo 36 ibidem, señala que “</w:t>
            </w:r>
            <w:r w:rsidR="0036334F" w:rsidRPr="00225B45">
              <w:rPr>
                <w:rFonts w:ascii="Arial Narrow" w:hAnsi="Arial Narrow" w:cs="Arial"/>
                <w:i/>
                <w:iCs/>
                <w:sz w:val="22"/>
                <w:szCs w:val="22"/>
              </w:rPr>
              <w:t>Para la disposición o procesamiento final de las basuras se utilizarán, preferiblemente, los medios que permitan: a). Evitar el deterioro del ambiente y de la salud humana; b). Reutilizar sus componentes; c) producir nuevos bienes (…)”</w:t>
            </w:r>
            <w:r w:rsidR="00225B45" w:rsidRPr="00225B45">
              <w:rPr>
                <w:rFonts w:ascii="Arial Narrow" w:hAnsi="Arial Narrow" w:cs="Arial"/>
                <w:i/>
                <w:iCs/>
                <w:sz w:val="22"/>
                <w:szCs w:val="22"/>
              </w:rPr>
              <w:t xml:space="preserve"> y </w:t>
            </w:r>
            <w:r w:rsidR="00225B45" w:rsidRPr="00225B45">
              <w:rPr>
                <w:rFonts w:ascii="Arial Narrow" w:hAnsi="Arial Narrow" w:cs="Arial"/>
                <w:sz w:val="22"/>
                <w:szCs w:val="22"/>
              </w:rPr>
              <w:t>q</w:t>
            </w:r>
            <w:r w:rsidR="0036334F" w:rsidRPr="00225B45">
              <w:rPr>
                <w:rFonts w:ascii="Arial Narrow" w:hAnsi="Arial Narrow" w:cs="Arial"/>
                <w:sz w:val="22"/>
                <w:szCs w:val="22"/>
              </w:rPr>
              <w:t>ue según el artículo 38 ibidem, por razón del volumen o de la cantidad de los residuos o desechos, se podrá imponer a quien los produce la obligación de recolectarlos, tratarlos o disponer de ellos, señalándole los medios para cada caso.</w:t>
            </w:r>
          </w:p>
          <w:p w14:paraId="746177DF" w14:textId="77777777" w:rsidR="0036334F" w:rsidRPr="00225B45" w:rsidRDefault="0036334F" w:rsidP="00225B45">
            <w:pPr>
              <w:ind w:left="357"/>
              <w:jc w:val="both"/>
              <w:rPr>
                <w:rFonts w:ascii="Arial Narrow" w:hAnsi="Arial Narrow" w:cs="Arial"/>
                <w:sz w:val="22"/>
                <w:szCs w:val="22"/>
              </w:rPr>
            </w:pPr>
          </w:p>
          <w:p w14:paraId="5A40AEAE" w14:textId="4173A59F" w:rsidR="0036334F" w:rsidRPr="00225B45" w:rsidRDefault="00225B45" w:rsidP="00225B45">
            <w:pPr>
              <w:ind w:left="357"/>
              <w:jc w:val="both"/>
              <w:rPr>
                <w:rFonts w:ascii="Arial Narrow" w:hAnsi="Arial Narrow" w:cs="Arial"/>
                <w:sz w:val="22"/>
                <w:szCs w:val="22"/>
              </w:rPr>
            </w:pPr>
            <w:r w:rsidRPr="00225B45">
              <w:rPr>
                <w:rFonts w:ascii="Arial Narrow" w:hAnsi="Arial Narrow" w:cs="Arial"/>
                <w:sz w:val="22"/>
                <w:szCs w:val="22"/>
              </w:rPr>
              <w:t>Por su parte,</w:t>
            </w:r>
            <w:r w:rsidR="0036334F" w:rsidRPr="00225B45">
              <w:rPr>
                <w:rFonts w:ascii="Arial Narrow" w:hAnsi="Arial Narrow" w:cs="Arial"/>
                <w:sz w:val="22"/>
                <w:szCs w:val="22"/>
              </w:rPr>
              <w:t xml:space="preserve"> los numerales 2, 10 y 14 del artículo 5 de la ley 99 de 1993 establecen como funciones  del Ministerio de Ambiente y Desarrollo Sostenible, respectivamente: regular las condiciones generales para el saneamiento del medio ambiente, y el uso, aprovechamiento, conservación, restauración y recuperación de los recursos naturales; determinar las normas ambientales mínimas y las regulaciones de carácter general sobre medio ambiente a las que deberán sujetarse los centros urbanos y asentamientos humanos y en general todo servicio o actividad que pueda generar directa o indirectamente daños ambientales y definir y regular los instrumentos administrativos y mecanismos necesarios para la prevención y el control de los factores de deterioro ambiental, determinar los criterios de evaluación, seguimiento y manejo ambiental de las actividades económicas..</w:t>
            </w:r>
          </w:p>
          <w:p w14:paraId="7E7A2F09" w14:textId="77777777" w:rsidR="0036334F" w:rsidRPr="00225B45" w:rsidRDefault="0036334F" w:rsidP="00225B45">
            <w:pPr>
              <w:ind w:left="357"/>
              <w:jc w:val="both"/>
              <w:rPr>
                <w:rFonts w:ascii="Arial Narrow" w:hAnsi="Arial Narrow" w:cs="Arial"/>
                <w:sz w:val="22"/>
                <w:szCs w:val="22"/>
              </w:rPr>
            </w:pPr>
          </w:p>
          <w:p w14:paraId="2B82F595" w14:textId="4B03739C" w:rsidR="0036334F" w:rsidRPr="00225B45" w:rsidRDefault="00225B45" w:rsidP="00225B45">
            <w:pPr>
              <w:ind w:left="357"/>
              <w:jc w:val="both"/>
              <w:rPr>
                <w:rFonts w:ascii="Arial Narrow" w:hAnsi="Arial Narrow" w:cs="Arial"/>
                <w:sz w:val="22"/>
                <w:szCs w:val="22"/>
                <w:lang w:eastAsia="es-CO"/>
              </w:rPr>
            </w:pPr>
            <w:r w:rsidRPr="00225B45">
              <w:rPr>
                <w:rFonts w:ascii="Arial Narrow" w:hAnsi="Arial Narrow" w:cs="Arial"/>
                <w:sz w:val="22"/>
                <w:szCs w:val="22"/>
                <w:lang w:eastAsia="es-CO"/>
              </w:rPr>
              <w:t xml:space="preserve">Por último, es prudente informar que el presente proyecto normativo no se está </w:t>
            </w:r>
            <w:r w:rsidR="0036334F" w:rsidRPr="00225B45">
              <w:rPr>
                <w:rFonts w:ascii="Arial Narrow" w:hAnsi="Arial Narrow" w:cs="Arial"/>
                <w:iCs/>
                <w:color w:val="000000"/>
                <w:sz w:val="22"/>
                <w:szCs w:val="22"/>
              </w:rPr>
              <w:t>ajustando a algún pronunciamiento jurisprudencial.</w:t>
            </w:r>
          </w:p>
          <w:p w14:paraId="45E75CB2" w14:textId="77777777" w:rsidR="0036334F" w:rsidRPr="00B96775" w:rsidRDefault="0036334F" w:rsidP="00225B45">
            <w:pPr>
              <w:ind w:right="470"/>
              <w:contextualSpacing/>
              <w:jc w:val="both"/>
              <w:rPr>
                <w:rFonts w:ascii="Arial Narrow" w:hAnsi="Arial Narrow" w:cs="Arial"/>
                <w:iCs/>
                <w:color w:val="000000"/>
                <w:sz w:val="22"/>
                <w:szCs w:val="22"/>
              </w:rPr>
            </w:pPr>
          </w:p>
          <w:p w14:paraId="1C55A233" w14:textId="77777777" w:rsidR="00E94DD9" w:rsidRPr="00210B2F" w:rsidRDefault="00E94DD9" w:rsidP="00B96775">
            <w:pPr>
              <w:numPr>
                <w:ilvl w:val="0"/>
                <w:numId w:val="12"/>
              </w:numPr>
              <w:ind w:left="357" w:right="470"/>
              <w:contextualSpacing/>
              <w:jc w:val="both"/>
              <w:rPr>
                <w:rFonts w:ascii="Arial Narrow" w:hAnsi="Arial Narrow" w:cs="Arial"/>
                <w:b/>
                <w:bCs/>
                <w:iCs/>
                <w:color w:val="000000"/>
                <w:sz w:val="22"/>
                <w:szCs w:val="22"/>
                <w:u w:val="single"/>
              </w:rPr>
            </w:pPr>
            <w:r w:rsidRPr="00210B2F">
              <w:rPr>
                <w:rFonts w:ascii="Arial Narrow" w:hAnsi="Arial Narrow" w:cs="Arial"/>
                <w:b/>
                <w:bCs/>
                <w:iCs/>
                <w:color w:val="000000"/>
                <w:sz w:val="22"/>
                <w:szCs w:val="22"/>
                <w:u w:val="single"/>
              </w:rPr>
              <w:t>El análisis de las decisiones judiciales de los órganos de cierre de las jurisdicciones que pudieran tener impacto o ser relevantes para efectos de la validez del proyecto normativo.</w:t>
            </w:r>
          </w:p>
          <w:p w14:paraId="1C3C372D" w14:textId="30ADB256" w:rsidR="00E94DD9" w:rsidRDefault="00E94DD9" w:rsidP="00B96775">
            <w:pPr>
              <w:ind w:left="357" w:right="470"/>
              <w:contextualSpacing/>
              <w:jc w:val="both"/>
              <w:rPr>
                <w:rFonts w:ascii="Arial Narrow" w:hAnsi="Arial Narrow" w:cs="Arial"/>
                <w:b/>
                <w:bCs/>
                <w:iCs/>
                <w:color w:val="000000"/>
                <w:sz w:val="22"/>
                <w:szCs w:val="22"/>
                <w:u w:val="single"/>
              </w:rPr>
            </w:pPr>
          </w:p>
          <w:p w14:paraId="34178B15" w14:textId="53E98FE0" w:rsidR="000A4E72" w:rsidRDefault="000A4E72" w:rsidP="000A4E72">
            <w:pPr>
              <w:ind w:left="357"/>
              <w:jc w:val="both"/>
              <w:rPr>
                <w:rFonts w:ascii="Arial Narrow" w:hAnsi="Arial Narrow" w:cs="Arial"/>
                <w:iCs/>
                <w:color w:val="000000"/>
                <w:sz w:val="22"/>
                <w:szCs w:val="22"/>
              </w:rPr>
            </w:pPr>
            <w:r w:rsidRPr="000A4E72">
              <w:rPr>
                <w:rFonts w:ascii="Arial Narrow" w:hAnsi="Arial Narrow" w:cs="Arial"/>
                <w:iCs/>
                <w:color w:val="000000"/>
                <w:sz w:val="22"/>
                <w:szCs w:val="22"/>
              </w:rPr>
              <w:t>Realizado el correspondiente estudio de los precedentes jurisprudenciales dictados por las Altas Cortes —con especial énfasis en la Corte Constitucional y el Consejo de Estado—, se constató que no existen fallos, sentencias de nulidad o mandatos judiciales que restrinjan, condicionen o afecten la validez jurídica del presente proyecto de resolución.</w:t>
            </w:r>
          </w:p>
          <w:p w14:paraId="42417584" w14:textId="77777777" w:rsidR="000A4E72" w:rsidRPr="000A4E72" w:rsidRDefault="000A4E72" w:rsidP="000A4E72">
            <w:pPr>
              <w:ind w:left="357"/>
              <w:jc w:val="both"/>
              <w:rPr>
                <w:rFonts w:ascii="Arial Narrow" w:hAnsi="Arial Narrow" w:cs="Arial"/>
                <w:iCs/>
                <w:color w:val="000000"/>
                <w:sz w:val="22"/>
                <w:szCs w:val="22"/>
              </w:rPr>
            </w:pPr>
          </w:p>
          <w:p w14:paraId="063F6A64" w14:textId="0D7B3CCC" w:rsidR="000A4E72" w:rsidRPr="000A4E72" w:rsidRDefault="000A4E72" w:rsidP="000A4E72">
            <w:pPr>
              <w:ind w:left="357"/>
              <w:jc w:val="both"/>
              <w:rPr>
                <w:rFonts w:ascii="Arial Narrow" w:hAnsi="Arial Narrow" w:cs="Arial"/>
                <w:iCs/>
                <w:color w:val="000000"/>
                <w:sz w:val="22"/>
                <w:szCs w:val="22"/>
              </w:rPr>
            </w:pPr>
            <w:r w:rsidRPr="000A4E72">
              <w:rPr>
                <w:rFonts w:ascii="Arial Narrow" w:hAnsi="Arial Narrow" w:cs="Arial"/>
                <w:iCs/>
                <w:color w:val="000000"/>
                <w:sz w:val="22"/>
                <w:szCs w:val="22"/>
              </w:rPr>
              <w:lastRenderedPageBreak/>
              <w:t xml:space="preserve">Asimismo, se verificó la ausencia de decisiones judiciales restrictivas en materia de Responsabilidad Extendida del Productor (REP), metas de recolección y aprovechamiento de </w:t>
            </w:r>
            <w:r>
              <w:rPr>
                <w:rFonts w:ascii="Arial Narrow" w:hAnsi="Arial Narrow" w:cs="Arial"/>
                <w:iCs/>
                <w:color w:val="000000"/>
                <w:sz w:val="22"/>
                <w:szCs w:val="22"/>
              </w:rPr>
              <w:t>las llantas usadas</w:t>
            </w:r>
            <w:r w:rsidRPr="000A4E72">
              <w:rPr>
                <w:rFonts w:ascii="Arial Narrow" w:hAnsi="Arial Narrow" w:cs="Arial"/>
                <w:iCs/>
                <w:color w:val="000000"/>
                <w:sz w:val="22"/>
                <w:szCs w:val="22"/>
              </w:rPr>
              <w:t>, o sobre la implementación de modelos de economía circular</w:t>
            </w:r>
            <w:r>
              <w:rPr>
                <w:rFonts w:ascii="Arial Narrow" w:hAnsi="Arial Narrow" w:cs="Arial"/>
                <w:iCs/>
                <w:color w:val="000000"/>
                <w:sz w:val="22"/>
                <w:szCs w:val="22"/>
              </w:rPr>
              <w:t xml:space="preserve"> de este tipo de residuos posconsumo</w:t>
            </w:r>
            <w:r w:rsidRPr="000A4E72">
              <w:rPr>
                <w:rFonts w:ascii="Arial Narrow" w:hAnsi="Arial Narrow" w:cs="Arial"/>
                <w:iCs/>
                <w:color w:val="000000"/>
                <w:sz w:val="22"/>
                <w:szCs w:val="22"/>
              </w:rPr>
              <w:t>. En consecuencia, el presente acto administrativo goza de plena seguridad jurídica y se encuentra alineado tanto con la Constitución y la ley como con las obligaciones del Estado colombiano frente a los estándares de la OCDE.</w:t>
            </w:r>
          </w:p>
          <w:p w14:paraId="4D1D791C" w14:textId="77777777" w:rsidR="00E94DD9" w:rsidRPr="00B96775" w:rsidRDefault="00E94DD9" w:rsidP="000A4E72">
            <w:pPr>
              <w:ind w:left="357"/>
              <w:jc w:val="both"/>
              <w:rPr>
                <w:rFonts w:ascii="Arial Narrow" w:hAnsi="Arial Narrow" w:cs="Arial"/>
                <w:iCs/>
                <w:color w:val="000000"/>
                <w:sz w:val="22"/>
                <w:szCs w:val="22"/>
              </w:rPr>
            </w:pPr>
          </w:p>
          <w:p w14:paraId="10CF9B9D" w14:textId="3E20EDE4" w:rsidR="00E94DD9" w:rsidRPr="000A4E72" w:rsidRDefault="00E94DD9" w:rsidP="00B96775">
            <w:pPr>
              <w:numPr>
                <w:ilvl w:val="0"/>
                <w:numId w:val="12"/>
              </w:numPr>
              <w:ind w:left="357" w:right="470"/>
              <w:contextualSpacing/>
              <w:jc w:val="both"/>
              <w:rPr>
                <w:rFonts w:ascii="Arial Narrow" w:hAnsi="Arial Narrow" w:cs="Arial"/>
                <w:b/>
                <w:bCs/>
                <w:iCs/>
                <w:color w:val="000000"/>
                <w:sz w:val="22"/>
                <w:szCs w:val="22"/>
                <w:u w:val="single"/>
              </w:rPr>
            </w:pPr>
            <w:r w:rsidRPr="000A4E72">
              <w:rPr>
                <w:rFonts w:ascii="Arial Narrow" w:hAnsi="Arial Narrow" w:cs="Arial"/>
                <w:b/>
                <w:bCs/>
                <w:iCs/>
                <w:color w:val="000000"/>
                <w:sz w:val="22"/>
                <w:szCs w:val="22"/>
                <w:u w:val="single"/>
              </w:rPr>
              <w:t>Argumentos relevantes sobre la coherencia con instrumentos internacionales en caso de que aplique.</w:t>
            </w:r>
          </w:p>
          <w:p w14:paraId="7534B77F" w14:textId="3BCC4AE2" w:rsidR="00257C79" w:rsidRDefault="00257C79" w:rsidP="00B96775">
            <w:pPr>
              <w:ind w:left="357" w:right="470"/>
              <w:contextualSpacing/>
              <w:jc w:val="both"/>
              <w:rPr>
                <w:rFonts w:ascii="Arial Narrow" w:hAnsi="Arial Narrow" w:cs="Arial"/>
                <w:iCs/>
                <w:color w:val="000000"/>
                <w:sz w:val="22"/>
                <w:szCs w:val="22"/>
              </w:rPr>
            </w:pPr>
          </w:p>
          <w:p w14:paraId="6B329B82" w14:textId="49EDB70A" w:rsidR="00210B2F" w:rsidRDefault="00343104" w:rsidP="00210B2F">
            <w:pPr>
              <w:ind w:left="357"/>
              <w:jc w:val="both"/>
              <w:rPr>
                <w:rFonts w:ascii="Arial Narrow" w:hAnsi="Arial Narrow" w:cs="Arial"/>
                <w:iCs/>
                <w:color w:val="000000"/>
                <w:sz w:val="22"/>
                <w:szCs w:val="22"/>
              </w:rPr>
            </w:pPr>
            <w:r>
              <w:rPr>
                <w:rFonts w:ascii="Arial Narrow" w:hAnsi="Arial Narrow" w:cs="Arial"/>
                <w:iCs/>
                <w:color w:val="000000"/>
                <w:sz w:val="22"/>
                <w:szCs w:val="22"/>
              </w:rPr>
              <w:t>Desde e</w:t>
            </w:r>
            <w:r w:rsidR="00210B2F" w:rsidRPr="00210B2F">
              <w:rPr>
                <w:rFonts w:ascii="Arial Narrow" w:hAnsi="Arial Narrow" w:cs="Arial"/>
                <w:iCs/>
                <w:color w:val="000000"/>
                <w:sz w:val="22"/>
                <w:szCs w:val="22"/>
              </w:rPr>
              <w:t>l ingreso de Colombia a la Organización para la Cooperación y el Desarrollo Económicos (OCDE)</w:t>
            </w:r>
            <w:r>
              <w:rPr>
                <w:rFonts w:ascii="Arial Narrow" w:hAnsi="Arial Narrow" w:cs="Arial"/>
                <w:iCs/>
                <w:color w:val="000000"/>
                <w:sz w:val="22"/>
                <w:szCs w:val="22"/>
              </w:rPr>
              <w:t>, se</w:t>
            </w:r>
            <w:r w:rsidR="00210B2F" w:rsidRPr="00210B2F">
              <w:rPr>
                <w:rFonts w:ascii="Arial Narrow" w:hAnsi="Arial Narrow" w:cs="Arial"/>
                <w:iCs/>
                <w:color w:val="000000"/>
                <w:sz w:val="22"/>
                <w:szCs w:val="22"/>
              </w:rPr>
              <w:t xml:space="preserve"> consolidó el compromiso del Estado de elevar sus estándares de gestión ambiental, adoptando formalmente el principio de Responsabilidad Extendida del Productor (REP). Este marco internacional obliga al país a fortalecer de manera progresiva la regulación de los residuos posconsumo</w:t>
            </w:r>
            <w:r>
              <w:rPr>
                <w:rFonts w:ascii="Arial Narrow" w:hAnsi="Arial Narrow" w:cs="Arial"/>
                <w:iCs/>
                <w:color w:val="000000"/>
                <w:sz w:val="22"/>
                <w:szCs w:val="22"/>
              </w:rPr>
              <w:t xml:space="preserve"> (entre los que se encuentran las llantas usadas, objeto del ámbito de aplicación de la resolución 1326 de 2017 y el presente proyecto modificatorio a dicha resolución).</w:t>
            </w:r>
          </w:p>
          <w:p w14:paraId="72A9E820" w14:textId="77777777" w:rsidR="00210B2F" w:rsidRPr="00210B2F" w:rsidRDefault="00210B2F" w:rsidP="00210B2F">
            <w:pPr>
              <w:ind w:left="357"/>
              <w:jc w:val="both"/>
              <w:rPr>
                <w:rFonts w:ascii="Arial Narrow" w:hAnsi="Arial Narrow" w:cs="Arial"/>
                <w:iCs/>
                <w:color w:val="000000"/>
                <w:sz w:val="22"/>
                <w:szCs w:val="22"/>
              </w:rPr>
            </w:pPr>
          </w:p>
          <w:p w14:paraId="27619F7D" w14:textId="4419110E" w:rsidR="00210B2F" w:rsidRDefault="00210B2F" w:rsidP="00343104">
            <w:pPr>
              <w:ind w:left="357"/>
              <w:jc w:val="both"/>
              <w:rPr>
                <w:rFonts w:ascii="Arial Narrow" w:hAnsi="Arial Narrow" w:cs="Arial"/>
                <w:iCs/>
                <w:color w:val="000000"/>
                <w:sz w:val="22"/>
                <w:szCs w:val="22"/>
              </w:rPr>
            </w:pPr>
            <w:r w:rsidRPr="00210B2F">
              <w:rPr>
                <w:rFonts w:ascii="Arial Narrow" w:hAnsi="Arial Narrow" w:cs="Arial"/>
                <w:iCs/>
                <w:color w:val="000000"/>
                <w:sz w:val="22"/>
                <w:szCs w:val="22"/>
              </w:rPr>
              <w:t xml:space="preserve">En cumplimiento de esta hoja de ruta, la nación se ha comprometido a implementar metas de recolección y aprovechamiento </w:t>
            </w:r>
            <w:r w:rsidR="00343104">
              <w:rPr>
                <w:rFonts w:ascii="Arial Narrow" w:hAnsi="Arial Narrow" w:cs="Arial"/>
                <w:iCs/>
                <w:color w:val="000000"/>
                <w:sz w:val="22"/>
                <w:szCs w:val="22"/>
              </w:rPr>
              <w:t>de las llantas usadas</w:t>
            </w:r>
            <w:r w:rsidRPr="00210B2F">
              <w:rPr>
                <w:rFonts w:ascii="Arial Narrow" w:hAnsi="Arial Narrow" w:cs="Arial"/>
                <w:iCs/>
                <w:color w:val="000000"/>
                <w:sz w:val="22"/>
                <w:szCs w:val="22"/>
              </w:rPr>
              <w:t>. De este modo, se garantiza que dichos residuos sean gestionados mediante métodos técnica y ambientalmente racionales. Estas acciones priorizan los modelos de economía circular frente a la disposición final en rellenos sanitarios, alineando la normativa nacional con los estándares de desempeño exigidos a los países miembros de la organización.</w:t>
            </w:r>
          </w:p>
          <w:p w14:paraId="7C47600A" w14:textId="77777777" w:rsidR="00225B45" w:rsidRPr="00B96775" w:rsidRDefault="00225B45" w:rsidP="00B96775">
            <w:pPr>
              <w:ind w:left="357" w:right="470"/>
              <w:contextualSpacing/>
              <w:jc w:val="both"/>
              <w:rPr>
                <w:rFonts w:ascii="Arial Narrow" w:hAnsi="Arial Narrow" w:cs="Arial"/>
                <w:iCs/>
                <w:color w:val="000000"/>
                <w:sz w:val="22"/>
                <w:szCs w:val="22"/>
              </w:rPr>
            </w:pPr>
          </w:p>
          <w:p w14:paraId="6571E4E1" w14:textId="77777777" w:rsidR="00807F8E" w:rsidRPr="00343104" w:rsidRDefault="00E94DD9" w:rsidP="00B96775">
            <w:pPr>
              <w:numPr>
                <w:ilvl w:val="0"/>
                <w:numId w:val="12"/>
              </w:numPr>
              <w:ind w:left="357" w:right="470"/>
              <w:contextualSpacing/>
              <w:jc w:val="both"/>
              <w:rPr>
                <w:rFonts w:ascii="Arial Narrow" w:hAnsi="Arial Narrow" w:cs="Arial"/>
                <w:b/>
                <w:bCs/>
                <w:iCs/>
                <w:color w:val="000000"/>
                <w:sz w:val="22"/>
                <w:szCs w:val="22"/>
                <w:u w:val="single"/>
              </w:rPr>
            </w:pPr>
            <w:r w:rsidRPr="00343104">
              <w:rPr>
                <w:rFonts w:ascii="Arial Narrow" w:hAnsi="Arial Narrow" w:cs="Arial"/>
                <w:b/>
                <w:bCs/>
                <w:iCs/>
                <w:color w:val="000000"/>
                <w:sz w:val="22"/>
                <w:szCs w:val="22"/>
                <w:u w:val="single"/>
              </w:rPr>
              <w:t>El análisis del impacto medioambiental, incluyendo un análisis de sostenibilidad medioambiental cuando se requiera.</w:t>
            </w:r>
          </w:p>
          <w:p w14:paraId="56D29EE8" w14:textId="77777777" w:rsidR="00807F8E" w:rsidRPr="00B96775" w:rsidRDefault="00807F8E" w:rsidP="00B96775">
            <w:pPr>
              <w:ind w:left="357" w:right="470"/>
              <w:contextualSpacing/>
              <w:jc w:val="both"/>
              <w:rPr>
                <w:rFonts w:ascii="Arial Narrow" w:hAnsi="Arial Narrow" w:cs="Arial"/>
                <w:iCs/>
                <w:color w:val="000000"/>
                <w:sz w:val="22"/>
                <w:szCs w:val="22"/>
              </w:rPr>
            </w:pPr>
          </w:p>
          <w:p w14:paraId="5D6C272F" w14:textId="0DAB1AFF" w:rsidR="00257C79" w:rsidRPr="00B96775" w:rsidRDefault="00225B45" w:rsidP="00B96775">
            <w:pPr>
              <w:ind w:left="357" w:right="470"/>
              <w:contextualSpacing/>
              <w:jc w:val="both"/>
              <w:rPr>
                <w:rFonts w:ascii="Arial Narrow" w:hAnsi="Arial Narrow" w:cs="Arial"/>
                <w:iCs/>
                <w:color w:val="000000"/>
                <w:sz w:val="22"/>
                <w:szCs w:val="22"/>
              </w:rPr>
            </w:pPr>
            <w:r>
              <w:rPr>
                <w:rFonts w:ascii="Arial Narrow" w:hAnsi="Arial Narrow" w:cs="Arial"/>
                <w:iCs/>
                <w:color w:val="000000"/>
                <w:sz w:val="22"/>
                <w:szCs w:val="22"/>
              </w:rPr>
              <w:t>No aplica</w:t>
            </w:r>
          </w:p>
          <w:p w14:paraId="0B48E375" w14:textId="77777777" w:rsidR="007B35B2" w:rsidRPr="00B96775" w:rsidRDefault="007B35B2" w:rsidP="00B96775">
            <w:pPr>
              <w:ind w:left="357" w:right="470"/>
              <w:contextualSpacing/>
              <w:jc w:val="both"/>
              <w:rPr>
                <w:rFonts w:ascii="Arial Narrow" w:hAnsi="Arial Narrow" w:cs="Arial"/>
                <w:iCs/>
                <w:color w:val="000000"/>
                <w:sz w:val="22"/>
                <w:szCs w:val="22"/>
              </w:rPr>
            </w:pPr>
          </w:p>
          <w:p w14:paraId="37B7EEE4" w14:textId="77777777" w:rsidR="00E94DD9" w:rsidRPr="00343104" w:rsidRDefault="00E94DD9" w:rsidP="00B96775">
            <w:pPr>
              <w:numPr>
                <w:ilvl w:val="0"/>
                <w:numId w:val="12"/>
              </w:numPr>
              <w:ind w:left="357" w:right="470"/>
              <w:contextualSpacing/>
              <w:jc w:val="both"/>
              <w:rPr>
                <w:rFonts w:ascii="Arial Narrow" w:hAnsi="Arial Narrow" w:cs="Arial"/>
                <w:b/>
                <w:bCs/>
                <w:iCs/>
                <w:color w:val="000000"/>
                <w:sz w:val="22"/>
                <w:szCs w:val="22"/>
              </w:rPr>
            </w:pPr>
            <w:r w:rsidRPr="00343104">
              <w:rPr>
                <w:rFonts w:ascii="Arial Narrow" w:hAnsi="Arial Narrow" w:cs="Arial"/>
                <w:b/>
                <w:bCs/>
                <w:iCs/>
                <w:color w:val="000000"/>
                <w:sz w:val="22"/>
                <w:szCs w:val="22"/>
                <w:u w:val="single"/>
              </w:rPr>
              <w:t>El análisis del impacto sobre el patrimonio cultural de la Nación, cuando se requiera</w:t>
            </w:r>
            <w:r w:rsidRPr="00343104">
              <w:rPr>
                <w:rFonts w:ascii="Arial Narrow" w:hAnsi="Arial Narrow" w:cs="Arial"/>
                <w:b/>
                <w:bCs/>
                <w:iCs/>
                <w:color w:val="000000"/>
                <w:sz w:val="22"/>
                <w:szCs w:val="22"/>
              </w:rPr>
              <w:t>.</w:t>
            </w:r>
          </w:p>
          <w:p w14:paraId="53069469" w14:textId="77777777" w:rsidR="00343104" w:rsidRDefault="00343104" w:rsidP="00343104">
            <w:pPr>
              <w:ind w:left="357" w:right="470" w:firstLine="49"/>
              <w:jc w:val="both"/>
              <w:rPr>
                <w:rFonts w:ascii="Arial Narrow" w:hAnsi="Arial Narrow" w:cs="Arial"/>
                <w:iCs/>
                <w:color w:val="000000"/>
                <w:sz w:val="22"/>
                <w:szCs w:val="22"/>
              </w:rPr>
            </w:pPr>
          </w:p>
          <w:p w14:paraId="304D02FC" w14:textId="6EB38279" w:rsidR="00257C79" w:rsidRDefault="00343104" w:rsidP="00343104">
            <w:pPr>
              <w:ind w:left="357" w:right="470" w:firstLine="49"/>
              <w:jc w:val="both"/>
              <w:rPr>
                <w:rFonts w:ascii="Arial Narrow" w:hAnsi="Arial Narrow" w:cs="Arial"/>
                <w:iCs/>
                <w:color w:val="000000"/>
                <w:sz w:val="22"/>
                <w:szCs w:val="22"/>
              </w:rPr>
            </w:pPr>
            <w:r>
              <w:rPr>
                <w:rFonts w:ascii="Arial Narrow" w:hAnsi="Arial Narrow" w:cs="Arial"/>
                <w:iCs/>
                <w:color w:val="000000"/>
                <w:sz w:val="22"/>
                <w:szCs w:val="22"/>
              </w:rPr>
              <w:t>No aplica</w:t>
            </w:r>
          </w:p>
          <w:p w14:paraId="7569074D" w14:textId="77777777" w:rsidR="00343104" w:rsidRPr="00B96775" w:rsidRDefault="00343104" w:rsidP="00343104">
            <w:pPr>
              <w:ind w:right="470"/>
              <w:jc w:val="both"/>
              <w:rPr>
                <w:rFonts w:ascii="Arial Narrow" w:hAnsi="Arial Narrow" w:cs="Arial"/>
                <w:iCs/>
                <w:color w:val="000000"/>
                <w:sz w:val="22"/>
                <w:szCs w:val="22"/>
              </w:rPr>
            </w:pPr>
          </w:p>
          <w:p w14:paraId="131DB659" w14:textId="054832CA" w:rsidR="00E94DD9" w:rsidRPr="00343104" w:rsidRDefault="00E94DD9" w:rsidP="00B96775">
            <w:pPr>
              <w:numPr>
                <w:ilvl w:val="0"/>
                <w:numId w:val="12"/>
              </w:numPr>
              <w:ind w:left="357" w:right="470"/>
              <w:contextualSpacing/>
              <w:jc w:val="both"/>
              <w:rPr>
                <w:rFonts w:ascii="Arial Narrow" w:hAnsi="Arial Narrow" w:cs="Arial"/>
                <w:b/>
                <w:bCs/>
                <w:iCs/>
                <w:color w:val="000000"/>
                <w:sz w:val="22"/>
                <w:szCs w:val="22"/>
                <w:u w:val="single"/>
              </w:rPr>
            </w:pPr>
            <w:r w:rsidRPr="00343104">
              <w:rPr>
                <w:rFonts w:ascii="Arial Narrow" w:hAnsi="Arial Narrow" w:cs="Arial"/>
                <w:b/>
                <w:bCs/>
                <w:iCs/>
                <w:color w:val="000000"/>
                <w:sz w:val="22"/>
                <w:szCs w:val="22"/>
                <w:u w:val="single"/>
              </w:rPr>
              <w:t>El análisis económico, financiero, fiscal o administrativo de los posibles efectos del acto de carácter general y abstracto. En caso de que dicho tipo de regulación cuente con una metodología de análisis económico establecida por la ley o acto administrativo, se podrá anexar para tal fin.</w:t>
            </w:r>
          </w:p>
          <w:p w14:paraId="3DD12987" w14:textId="7156D2AB" w:rsidR="00257C79" w:rsidRDefault="00257C79" w:rsidP="00B96775">
            <w:pPr>
              <w:ind w:left="357" w:right="470"/>
              <w:contextualSpacing/>
              <w:jc w:val="both"/>
              <w:rPr>
                <w:rFonts w:ascii="Arial Narrow" w:hAnsi="Arial Narrow" w:cs="Arial"/>
                <w:iCs/>
                <w:color w:val="000000"/>
                <w:sz w:val="22"/>
                <w:szCs w:val="22"/>
              </w:rPr>
            </w:pPr>
          </w:p>
          <w:p w14:paraId="75E920C3" w14:textId="725AD650" w:rsidR="00E94DD9" w:rsidRDefault="004B354B" w:rsidP="00B96775">
            <w:pPr>
              <w:ind w:left="357" w:right="470"/>
              <w:jc w:val="both"/>
              <w:rPr>
                <w:rFonts w:ascii="Arial Narrow" w:hAnsi="Arial Narrow" w:cs="Arial"/>
                <w:iCs/>
                <w:color w:val="000000"/>
                <w:sz w:val="22"/>
                <w:szCs w:val="22"/>
              </w:rPr>
            </w:pPr>
            <w:r>
              <w:rPr>
                <w:rFonts w:ascii="Arial Narrow" w:hAnsi="Arial Narrow" w:cs="Arial"/>
                <w:iCs/>
                <w:color w:val="000000"/>
                <w:sz w:val="22"/>
                <w:szCs w:val="22"/>
              </w:rPr>
              <w:t>L</w:t>
            </w:r>
            <w:r w:rsidR="00465AD7" w:rsidRPr="00465AD7">
              <w:rPr>
                <w:rFonts w:ascii="Arial Narrow" w:hAnsi="Arial Narrow" w:cs="Arial"/>
                <w:iCs/>
                <w:color w:val="000000"/>
                <w:sz w:val="22"/>
                <w:szCs w:val="22"/>
              </w:rPr>
              <w:t>as actividades requeridas corresponden a las actividades de recolección, transporte y gestión ambiental ya previstas en el esquema de Responsabilidad Extendida del Productor establecido en la Resolución 1326 de 2017</w:t>
            </w:r>
            <w:r w:rsidR="004D3CB5">
              <w:rPr>
                <w:rFonts w:ascii="Arial Narrow" w:hAnsi="Arial Narrow" w:cs="Arial"/>
                <w:iCs/>
                <w:color w:val="000000"/>
                <w:sz w:val="22"/>
                <w:szCs w:val="22"/>
              </w:rPr>
              <w:t>,</w:t>
            </w:r>
            <w:r w:rsidR="00465AD7">
              <w:rPr>
                <w:rFonts w:ascii="Arial Narrow" w:hAnsi="Arial Narrow" w:cs="Arial"/>
                <w:iCs/>
                <w:color w:val="000000"/>
                <w:sz w:val="22"/>
                <w:szCs w:val="22"/>
              </w:rPr>
              <w:t xml:space="preserve"> </w:t>
            </w:r>
            <w:r w:rsidR="00465AD7" w:rsidRPr="00465AD7">
              <w:rPr>
                <w:rFonts w:ascii="Arial Narrow" w:hAnsi="Arial Narrow" w:cs="Arial"/>
                <w:iCs/>
                <w:color w:val="000000"/>
                <w:sz w:val="22"/>
                <w:szCs w:val="22"/>
              </w:rPr>
              <w:t>por lo que no se generan nuevas cargas administrativas sustanciales ni se crean sistemas de gestión diferentes a los actualmente previstos en la regulación.</w:t>
            </w:r>
          </w:p>
          <w:p w14:paraId="55395222" w14:textId="1310B334" w:rsidR="00465AD7" w:rsidRDefault="00465AD7" w:rsidP="00B96775">
            <w:pPr>
              <w:ind w:left="357" w:right="470"/>
              <w:jc w:val="both"/>
              <w:rPr>
                <w:rFonts w:ascii="Arial Narrow" w:hAnsi="Arial Narrow" w:cs="Arial"/>
                <w:iCs/>
                <w:color w:val="000000"/>
                <w:sz w:val="22"/>
                <w:szCs w:val="22"/>
              </w:rPr>
            </w:pPr>
          </w:p>
          <w:p w14:paraId="02B784FF" w14:textId="665F1EBE" w:rsidR="00465AD7" w:rsidRPr="00465AD7" w:rsidRDefault="00465AD7" w:rsidP="00B96775">
            <w:pPr>
              <w:ind w:left="357" w:right="470"/>
              <w:jc w:val="both"/>
              <w:rPr>
                <w:rFonts w:ascii="Arial Narrow" w:hAnsi="Arial Narrow" w:cs="Arial"/>
                <w:iCs/>
                <w:color w:val="000000"/>
                <w:sz w:val="22"/>
                <w:szCs w:val="22"/>
              </w:rPr>
            </w:pPr>
            <w:r>
              <w:rPr>
                <w:rFonts w:ascii="Arial Narrow" w:hAnsi="Arial Narrow" w:cs="Arial"/>
                <w:iCs/>
                <w:color w:val="000000"/>
                <w:sz w:val="22"/>
                <w:szCs w:val="22"/>
              </w:rPr>
              <w:t>L</w:t>
            </w:r>
            <w:r w:rsidRPr="00465AD7">
              <w:rPr>
                <w:rFonts w:ascii="Arial Narrow" w:hAnsi="Arial Narrow" w:cs="Arial"/>
                <w:iCs/>
                <w:color w:val="000000"/>
                <w:sz w:val="22"/>
                <w:szCs w:val="22"/>
              </w:rPr>
              <w:t>a modificación propuesta no genera impactos fiscales directos para la Nación ni implica la creación de nuevas obligaciones presupuestales para el Ministerio de Ambiente y Desarrollo Sostenible, la Autoridad Nacional de Licencias Ambientales (ANLA), las autoridades ambientales, los municipios o los distritos.</w:t>
            </w:r>
          </w:p>
          <w:p w14:paraId="22C9C068" w14:textId="30E70F54" w:rsidR="00465AD7" w:rsidRDefault="00465AD7" w:rsidP="00B96775">
            <w:pPr>
              <w:ind w:left="357" w:right="470"/>
              <w:jc w:val="both"/>
              <w:rPr>
                <w:rFonts w:ascii="Arial Narrow" w:hAnsi="Arial Narrow" w:cs="Arial"/>
                <w:iCs/>
                <w:color w:val="000000"/>
                <w:sz w:val="22"/>
                <w:szCs w:val="22"/>
              </w:rPr>
            </w:pPr>
          </w:p>
          <w:p w14:paraId="2B43D02D" w14:textId="77777777" w:rsidR="00465AD7" w:rsidRPr="00B96775" w:rsidRDefault="00465AD7" w:rsidP="00B96775">
            <w:pPr>
              <w:ind w:left="357" w:right="470"/>
              <w:jc w:val="both"/>
              <w:rPr>
                <w:rFonts w:ascii="Arial Narrow" w:hAnsi="Arial Narrow" w:cs="Arial"/>
                <w:iCs/>
                <w:color w:val="000000"/>
                <w:sz w:val="22"/>
                <w:szCs w:val="22"/>
              </w:rPr>
            </w:pPr>
          </w:p>
          <w:p w14:paraId="0B9ACE08" w14:textId="6FDF3134" w:rsidR="00E94DD9" w:rsidRPr="000A4E72" w:rsidRDefault="00E94DD9" w:rsidP="00B96775">
            <w:pPr>
              <w:numPr>
                <w:ilvl w:val="0"/>
                <w:numId w:val="12"/>
              </w:numPr>
              <w:ind w:left="357" w:right="470"/>
              <w:contextualSpacing/>
              <w:jc w:val="both"/>
              <w:rPr>
                <w:rFonts w:ascii="Arial Narrow" w:hAnsi="Arial Narrow" w:cs="Arial"/>
                <w:b/>
                <w:bCs/>
                <w:iCs/>
                <w:color w:val="000000"/>
                <w:sz w:val="22"/>
                <w:szCs w:val="22"/>
                <w:u w:val="single"/>
              </w:rPr>
            </w:pPr>
            <w:r w:rsidRPr="000A4E72">
              <w:rPr>
                <w:rFonts w:ascii="Arial Narrow" w:hAnsi="Arial Narrow" w:cs="Arial"/>
                <w:b/>
                <w:bCs/>
                <w:iCs/>
                <w:color w:val="000000"/>
                <w:sz w:val="22"/>
                <w:szCs w:val="22"/>
                <w:u w:val="single"/>
              </w:rPr>
              <w:t>La viabilidad o disponibilidad presupuestal expedida por el Ministerio de Hacienda y Crédito Público, cuando se requiera.</w:t>
            </w:r>
          </w:p>
          <w:p w14:paraId="606F7D44" w14:textId="7518B3C3" w:rsidR="00257C79" w:rsidRPr="00B96775" w:rsidRDefault="00257C79" w:rsidP="00B96775">
            <w:pPr>
              <w:ind w:left="357" w:right="470"/>
              <w:contextualSpacing/>
              <w:jc w:val="both"/>
              <w:rPr>
                <w:rFonts w:ascii="Arial Narrow" w:hAnsi="Arial Narrow" w:cs="Arial"/>
                <w:iCs/>
                <w:color w:val="000000"/>
                <w:sz w:val="22"/>
                <w:szCs w:val="22"/>
              </w:rPr>
            </w:pPr>
          </w:p>
          <w:p w14:paraId="4CDEBFAE" w14:textId="01EAF503" w:rsidR="00E94DD9" w:rsidRDefault="000A4E72" w:rsidP="00B96775">
            <w:pPr>
              <w:ind w:left="357" w:right="470"/>
              <w:contextualSpacing/>
              <w:jc w:val="both"/>
              <w:rPr>
                <w:rFonts w:ascii="Arial Narrow" w:hAnsi="Arial Narrow" w:cs="Arial"/>
                <w:iCs/>
                <w:color w:val="000000"/>
                <w:sz w:val="22"/>
                <w:szCs w:val="22"/>
              </w:rPr>
            </w:pPr>
            <w:r>
              <w:rPr>
                <w:rFonts w:ascii="Arial Narrow" w:hAnsi="Arial Narrow" w:cs="Arial"/>
                <w:iCs/>
                <w:color w:val="000000"/>
                <w:sz w:val="22"/>
                <w:szCs w:val="22"/>
              </w:rPr>
              <w:t>No aplica</w:t>
            </w:r>
          </w:p>
          <w:p w14:paraId="79AA365A" w14:textId="77777777" w:rsidR="000A4E72" w:rsidRPr="00B96775" w:rsidRDefault="000A4E72" w:rsidP="00B96775">
            <w:pPr>
              <w:ind w:left="357" w:right="470"/>
              <w:contextualSpacing/>
              <w:jc w:val="both"/>
              <w:rPr>
                <w:rFonts w:ascii="Arial Narrow" w:hAnsi="Arial Narrow" w:cs="Arial"/>
                <w:iCs/>
                <w:color w:val="000000"/>
                <w:sz w:val="22"/>
                <w:szCs w:val="22"/>
              </w:rPr>
            </w:pPr>
          </w:p>
          <w:p w14:paraId="186C4796" w14:textId="335231F8" w:rsidR="00E94DD9" w:rsidRPr="000A4E72" w:rsidRDefault="00E94DD9" w:rsidP="00B96775">
            <w:pPr>
              <w:numPr>
                <w:ilvl w:val="0"/>
                <w:numId w:val="12"/>
              </w:numPr>
              <w:ind w:left="357" w:right="470"/>
              <w:contextualSpacing/>
              <w:jc w:val="both"/>
              <w:rPr>
                <w:rFonts w:ascii="Arial Narrow" w:hAnsi="Arial Narrow" w:cs="Arial"/>
                <w:b/>
                <w:bCs/>
                <w:iCs/>
                <w:color w:val="000000"/>
                <w:sz w:val="22"/>
                <w:szCs w:val="22"/>
                <w:u w:val="single"/>
              </w:rPr>
            </w:pPr>
            <w:r w:rsidRPr="000A4E72">
              <w:rPr>
                <w:rFonts w:ascii="Arial Narrow" w:hAnsi="Arial Narrow" w:cs="Arial"/>
                <w:b/>
                <w:bCs/>
                <w:iCs/>
                <w:color w:val="000000"/>
                <w:sz w:val="22"/>
                <w:szCs w:val="22"/>
                <w:u w:val="single"/>
              </w:rPr>
              <w:lastRenderedPageBreak/>
              <w:t>Cualquier otro aspecto que la entidad productora del proyecto normativo considere relevante o de importancia para la adopción de la decisión.</w:t>
            </w:r>
          </w:p>
          <w:p w14:paraId="4C9C9740" w14:textId="325051B3" w:rsidR="00E94DD9" w:rsidRPr="00B96775" w:rsidRDefault="00E94DD9" w:rsidP="004D3CB5">
            <w:pPr>
              <w:ind w:right="470"/>
              <w:jc w:val="both"/>
              <w:rPr>
                <w:rFonts w:ascii="Arial Narrow" w:hAnsi="Arial Narrow" w:cs="Arial"/>
                <w:iCs/>
                <w:color w:val="000000"/>
                <w:sz w:val="22"/>
                <w:szCs w:val="22"/>
              </w:rPr>
            </w:pPr>
          </w:p>
          <w:p w14:paraId="61D7EA8E" w14:textId="37AB9447" w:rsidR="00C517D1" w:rsidRPr="00B96775" w:rsidRDefault="000A4E72" w:rsidP="004D3CB5">
            <w:pPr>
              <w:ind w:left="357" w:right="470"/>
              <w:jc w:val="both"/>
              <w:rPr>
                <w:rFonts w:ascii="Arial Narrow" w:hAnsi="Arial Narrow" w:cs="Arial"/>
                <w:iCs/>
                <w:color w:val="000000"/>
                <w:sz w:val="22"/>
                <w:szCs w:val="22"/>
              </w:rPr>
            </w:pPr>
            <w:r>
              <w:rPr>
                <w:rFonts w:ascii="Arial Narrow" w:hAnsi="Arial Narrow" w:cs="Arial"/>
                <w:iCs/>
                <w:color w:val="000000"/>
                <w:sz w:val="22"/>
                <w:szCs w:val="22"/>
              </w:rPr>
              <w:t>No aplica</w:t>
            </w:r>
          </w:p>
          <w:p w14:paraId="4C69D4E2" w14:textId="24EE37D7" w:rsidR="00145E2C" w:rsidRPr="00B96775" w:rsidRDefault="00145E2C" w:rsidP="00B96775">
            <w:pPr>
              <w:ind w:left="357" w:right="470"/>
              <w:jc w:val="both"/>
              <w:rPr>
                <w:rFonts w:ascii="Arial Narrow" w:hAnsi="Arial Narrow" w:cs="Arial"/>
                <w:iCs/>
                <w:color w:val="000000"/>
                <w:sz w:val="22"/>
                <w:szCs w:val="22"/>
              </w:rPr>
            </w:pPr>
          </w:p>
        </w:tc>
      </w:tr>
      <w:tr w:rsidR="00145E2C" w:rsidRPr="00B96775" w14:paraId="0E6B14BC" w14:textId="77777777" w:rsidTr="00480AB2">
        <w:trPr>
          <w:trHeight w:val="416"/>
        </w:trPr>
        <w:tc>
          <w:tcPr>
            <w:tcW w:w="10774" w:type="dxa"/>
            <w:gridSpan w:val="3"/>
            <w:tcBorders>
              <w:top w:val="single" w:sz="4" w:space="0" w:color="auto"/>
              <w:bottom w:val="single" w:sz="4" w:space="0" w:color="auto"/>
            </w:tcBorders>
            <w:shd w:val="clear" w:color="auto" w:fill="154A8A"/>
            <w:vAlign w:val="center"/>
          </w:tcPr>
          <w:p w14:paraId="71ACD4C2" w14:textId="64F736A9" w:rsidR="00145E2C" w:rsidRPr="00B96775" w:rsidRDefault="00C01825" w:rsidP="00B96775">
            <w:pPr>
              <w:jc w:val="center"/>
              <w:rPr>
                <w:rFonts w:ascii="Arial Narrow" w:hAnsi="Arial Narrow" w:cs="Arial"/>
                <w:color w:val="FFFFFF"/>
                <w:sz w:val="22"/>
                <w:szCs w:val="22"/>
              </w:rPr>
            </w:pPr>
            <w:r>
              <w:rPr>
                <w:rFonts w:ascii="Arial Narrow" w:hAnsi="Arial Narrow" w:cs="Arial"/>
                <w:b/>
                <w:color w:val="FFFFFF"/>
                <w:sz w:val="22"/>
                <w:szCs w:val="22"/>
              </w:rPr>
              <w:lastRenderedPageBreak/>
              <w:t>ANEXOS:</w:t>
            </w:r>
          </w:p>
        </w:tc>
      </w:tr>
      <w:tr w:rsidR="00145E2C" w:rsidRPr="00B96775" w14:paraId="4F98455C" w14:textId="77777777" w:rsidTr="00480AB2">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3D072652" w14:textId="77777777" w:rsidR="00145E2C" w:rsidRPr="00B96775" w:rsidRDefault="00145E2C" w:rsidP="00B96775">
            <w:pPr>
              <w:jc w:val="both"/>
              <w:rPr>
                <w:rFonts w:ascii="Arial Narrow" w:hAnsi="Arial Narrow" w:cs="Arial"/>
                <w:sz w:val="22"/>
                <w:szCs w:val="22"/>
              </w:rPr>
            </w:pPr>
            <w:r w:rsidRPr="00B96775">
              <w:rPr>
                <w:rFonts w:ascii="Arial Narrow" w:hAnsi="Arial Narrow" w:cs="Arial"/>
                <w:sz w:val="22"/>
                <w:szCs w:val="22"/>
              </w:rPr>
              <w:t xml:space="preserve">Certificación de cumplimiento de requisitos de consulta, publicidad y de incorporación en la agenda regulatoria </w:t>
            </w:r>
          </w:p>
          <w:p w14:paraId="5655F034" w14:textId="77777777" w:rsidR="00145E2C" w:rsidRPr="00B96775" w:rsidRDefault="00145E2C" w:rsidP="00B96775">
            <w:pPr>
              <w:jc w:val="both"/>
              <w:rPr>
                <w:rFonts w:ascii="Arial Narrow" w:hAnsi="Arial Narrow" w:cs="Arial"/>
                <w:i/>
                <w:color w:val="808080"/>
                <w:sz w:val="22"/>
                <w:szCs w:val="22"/>
              </w:rPr>
            </w:pPr>
            <w:r w:rsidRPr="00B96775">
              <w:rPr>
                <w:rFonts w:ascii="Arial Narrow" w:hAnsi="Arial Narrow" w:cs="Arial"/>
                <w:i/>
                <w:color w:val="808080"/>
                <w:sz w:val="22"/>
                <w:szCs w:val="22"/>
              </w:rPr>
              <w:t>(Firmada por el servidor público competente –entidad originadora)</w:t>
            </w:r>
          </w:p>
        </w:tc>
        <w:tc>
          <w:tcPr>
            <w:tcW w:w="3119" w:type="dxa"/>
            <w:tcBorders>
              <w:top w:val="single" w:sz="4" w:space="0" w:color="auto"/>
              <w:left w:val="single" w:sz="4" w:space="0" w:color="auto"/>
              <w:bottom w:val="single" w:sz="4" w:space="0" w:color="auto"/>
            </w:tcBorders>
            <w:shd w:val="clear" w:color="auto" w:fill="FFFFFF"/>
            <w:vAlign w:val="center"/>
          </w:tcPr>
          <w:p w14:paraId="39ECE19E" w14:textId="77777777" w:rsidR="00145E2C" w:rsidRPr="00B96775" w:rsidRDefault="00942F27" w:rsidP="00145E2C">
            <w:pPr>
              <w:jc w:val="both"/>
              <w:rPr>
                <w:rFonts w:ascii="Arial Narrow" w:hAnsi="Arial Narrow" w:cs="Arial"/>
                <w:color w:val="808080"/>
                <w:sz w:val="22"/>
                <w:szCs w:val="22"/>
              </w:rPr>
            </w:pPr>
            <w:r w:rsidRPr="00B96775">
              <w:rPr>
                <w:rFonts w:ascii="Arial Narrow" w:hAnsi="Arial Narrow" w:cs="Arial"/>
                <w:i/>
                <w:sz w:val="22"/>
                <w:szCs w:val="22"/>
              </w:rPr>
              <w:t>(Pendiente)</w:t>
            </w:r>
          </w:p>
        </w:tc>
      </w:tr>
      <w:tr w:rsidR="00145E2C" w:rsidRPr="00B96775" w14:paraId="20A52E09" w14:textId="77777777" w:rsidTr="00480AB2">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1FA9C7E5" w14:textId="77777777" w:rsidR="00145E2C" w:rsidRPr="00B96775" w:rsidRDefault="00145E2C" w:rsidP="00B96775">
            <w:pPr>
              <w:jc w:val="both"/>
              <w:rPr>
                <w:rFonts w:ascii="Arial Narrow" w:hAnsi="Arial Narrow" w:cs="Arial"/>
                <w:sz w:val="22"/>
                <w:szCs w:val="22"/>
              </w:rPr>
            </w:pPr>
            <w:r w:rsidRPr="00B96775">
              <w:rPr>
                <w:rFonts w:ascii="Arial Narrow" w:hAnsi="Arial Narrow" w:cs="Arial"/>
                <w:sz w:val="22"/>
                <w:szCs w:val="22"/>
              </w:rPr>
              <w:t>Concepto(s) de Ministerio de Comercio, Industria y Turismo</w:t>
            </w:r>
          </w:p>
          <w:p w14:paraId="4F665E21" w14:textId="77777777" w:rsidR="00145E2C" w:rsidRPr="00B96775" w:rsidRDefault="00145E2C" w:rsidP="00B96775">
            <w:pPr>
              <w:jc w:val="both"/>
              <w:rPr>
                <w:rFonts w:ascii="Arial Narrow" w:hAnsi="Arial Narrow" w:cs="Arial"/>
                <w:i/>
                <w:color w:val="808080"/>
                <w:sz w:val="22"/>
                <w:szCs w:val="22"/>
              </w:rPr>
            </w:pPr>
            <w:r w:rsidRPr="00B96775">
              <w:rPr>
                <w:rFonts w:ascii="Arial Narrow" w:hAnsi="Arial Narrow" w:cs="Arial"/>
                <w:i/>
                <w:color w:val="808080"/>
                <w:sz w:val="22"/>
                <w:szCs w:val="22"/>
              </w:rPr>
              <w:t>(Cuando se trate de un proyecto de reglamento técnico o de procedimientos de evaluación de conformidad)</w:t>
            </w:r>
          </w:p>
        </w:tc>
        <w:tc>
          <w:tcPr>
            <w:tcW w:w="3119" w:type="dxa"/>
            <w:tcBorders>
              <w:top w:val="single" w:sz="4" w:space="0" w:color="auto"/>
              <w:left w:val="single" w:sz="4" w:space="0" w:color="auto"/>
              <w:bottom w:val="single" w:sz="4" w:space="0" w:color="auto"/>
            </w:tcBorders>
            <w:shd w:val="clear" w:color="auto" w:fill="FFFFFF"/>
            <w:vAlign w:val="center"/>
          </w:tcPr>
          <w:p w14:paraId="2535EBD6" w14:textId="5E5AD8F1" w:rsidR="00145E2C" w:rsidRPr="00B96775" w:rsidRDefault="00145E2C" w:rsidP="00145E2C">
            <w:pPr>
              <w:jc w:val="both"/>
              <w:rPr>
                <w:rFonts w:ascii="Arial Narrow" w:hAnsi="Arial Narrow" w:cs="Arial"/>
                <w:sz w:val="22"/>
                <w:szCs w:val="22"/>
              </w:rPr>
            </w:pPr>
            <w:r w:rsidRPr="00B96775">
              <w:rPr>
                <w:rFonts w:ascii="Arial Narrow" w:hAnsi="Arial Narrow" w:cs="Arial"/>
                <w:i/>
                <w:sz w:val="22"/>
                <w:szCs w:val="22"/>
              </w:rPr>
              <w:t>(Marque con una x)</w:t>
            </w:r>
            <w:r w:rsidR="007B35B2" w:rsidRPr="00B96775">
              <w:rPr>
                <w:rFonts w:ascii="Arial Narrow" w:hAnsi="Arial Narrow" w:cs="Arial"/>
                <w:i/>
                <w:sz w:val="22"/>
                <w:szCs w:val="22"/>
              </w:rPr>
              <w:t xml:space="preserve"> No requiere</w:t>
            </w:r>
          </w:p>
        </w:tc>
      </w:tr>
      <w:tr w:rsidR="00145E2C" w:rsidRPr="00B96775" w14:paraId="00079DD6" w14:textId="77777777" w:rsidTr="00480AB2">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7BE3D912" w14:textId="77777777" w:rsidR="00145E2C" w:rsidRPr="00B96775" w:rsidRDefault="00145E2C" w:rsidP="00B96775">
            <w:pPr>
              <w:jc w:val="both"/>
              <w:rPr>
                <w:rFonts w:ascii="Arial Narrow" w:hAnsi="Arial Narrow" w:cs="Arial"/>
                <w:sz w:val="22"/>
                <w:szCs w:val="22"/>
              </w:rPr>
            </w:pPr>
            <w:r w:rsidRPr="00B96775">
              <w:rPr>
                <w:rFonts w:ascii="Arial Narrow" w:hAnsi="Arial Narrow" w:cs="Arial"/>
                <w:sz w:val="22"/>
                <w:szCs w:val="22"/>
              </w:rPr>
              <w:t xml:space="preserve">Informe de observaciones y respuestas </w:t>
            </w:r>
          </w:p>
          <w:p w14:paraId="6F0B8484" w14:textId="77777777" w:rsidR="00145E2C" w:rsidRPr="00B96775" w:rsidRDefault="00145E2C" w:rsidP="00B96775">
            <w:pPr>
              <w:jc w:val="both"/>
              <w:rPr>
                <w:rFonts w:ascii="Arial Narrow" w:hAnsi="Arial Narrow" w:cs="Arial"/>
                <w:i/>
                <w:color w:val="808080"/>
                <w:sz w:val="22"/>
                <w:szCs w:val="22"/>
              </w:rPr>
            </w:pPr>
            <w:r w:rsidRPr="00B96775">
              <w:rPr>
                <w:rFonts w:ascii="Arial Narrow" w:hAnsi="Arial Narrow" w:cs="Arial"/>
                <w:i/>
                <w:color w:val="808080"/>
                <w:sz w:val="22"/>
                <w:szCs w:val="22"/>
              </w:rPr>
              <w:t>(Análisis del informe con la evaluación de las observaciones de los ciudadanos y grupos de interés sobre el proyecto normativo)</w:t>
            </w:r>
          </w:p>
        </w:tc>
        <w:tc>
          <w:tcPr>
            <w:tcW w:w="3119" w:type="dxa"/>
            <w:tcBorders>
              <w:top w:val="single" w:sz="4" w:space="0" w:color="auto"/>
              <w:left w:val="single" w:sz="4" w:space="0" w:color="auto"/>
              <w:bottom w:val="single" w:sz="4" w:space="0" w:color="auto"/>
            </w:tcBorders>
            <w:shd w:val="clear" w:color="auto" w:fill="FFFFFF"/>
            <w:vAlign w:val="center"/>
          </w:tcPr>
          <w:p w14:paraId="27E7BB42" w14:textId="77777777" w:rsidR="00145E2C" w:rsidRPr="00B96775" w:rsidRDefault="00942F27" w:rsidP="00145E2C">
            <w:pPr>
              <w:jc w:val="both"/>
              <w:rPr>
                <w:rFonts w:ascii="Arial Narrow" w:hAnsi="Arial Narrow" w:cs="Arial"/>
                <w:sz w:val="22"/>
                <w:szCs w:val="22"/>
              </w:rPr>
            </w:pPr>
            <w:r w:rsidRPr="00B96775">
              <w:rPr>
                <w:rFonts w:ascii="Arial Narrow" w:hAnsi="Arial Narrow" w:cs="Arial"/>
                <w:i/>
                <w:sz w:val="22"/>
                <w:szCs w:val="22"/>
              </w:rPr>
              <w:t>(Pendiente)</w:t>
            </w:r>
          </w:p>
        </w:tc>
      </w:tr>
      <w:tr w:rsidR="00145E2C" w:rsidRPr="00B96775" w14:paraId="2C2362FE" w14:textId="77777777" w:rsidTr="00480AB2">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3F3EB977" w14:textId="77777777" w:rsidR="00145E2C" w:rsidRPr="00B96775" w:rsidRDefault="00145E2C" w:rsidP="00B96775">
            <w:pPr>
              <w:jc w:val="both"/>
              <w:rPr>
                <w:rFonts w:ascii="Arial Narrow" w:hAnsi="Arial Narrow" w:cs="Arial"/>
                <w:sz w:val="22"/>
                <w:szCs w:val="22"/>
              </w:rPr>
            </w:pPr>
            <w:r w:rsidRPr="00B96775">
              <w:rPr>
                <w:rFonts w:ascii="Arial Narrow" w:hAnsi="Arial Narrow" w:cs="Arial"/>
                <w:sz w:val="22"/>
                <w:szCs w:val="22"/>
              </w:rPr>
              <w:t>Concepto de Abogacía de la Competencia de la Superintendencia de Industria y Comercio</w:t>
            </w:r>
          </w:p>
          <w:p w14:paraId="645DCFD7" w14:textId="77777777" w:rsidR="00145E2C" w:rsidRPr="00B96775" w:rsidRDefault="00145E2C" w:rsidP="00B96775">
            <w:pPr>
              <w:jc w:val="both"/>
              <w:rPr>
                <w:rFonts w:ascii="Arial Narrow" w:hAnsi="Arial Narrow" w:cs="Arial"/>
                <w:i/>
                <w:color w:val="808080"/>
                <w:sz w:val="22"/>
                <w:szCs w:val="22"/>
              </w:rPr>
            </w:pPr>
            <w:r w:rsidRPr="00B96775">
              <w:rPr>
                <w:rFonts w:ascii="Arial Narrow" w:hAnsi="Arial Narrow" w:cs="Arial"/>
                <w:i/>
                <w:color w:val="808080"/>
                <w:sz w:val="22"/>
                <w:szCs w:val="22"/>
              </w:rPr>
              <w:t>(Cuando los proyectos normativos tengan incidencia en la libre competencia de los mercados)</w:t>
            </w:r>
          </w:p>
        </w:tc>
        <w:tc>
          <w:tcPr>
            <w:tcW w:w="3119" w:type="dxa"/>
            <w:tcBorders>
              <w:top w:val="single" w:sz="4" w:space="0" w:color="auto"/>
              <w:left w:val="single" w:sz="4" w:space="0" w:color="auto"/>
              <w:bottom w:val="single" w:sz="4" w:space="0" w:color="auto"/>
            </w:tcBorders>
            <w:shd w:val="clear" w:color="auto" w:fill="FFFFFF"/>
            <w:vAlign w:val="center"/>
          </w:tcPr>
          <w:p w14:paraId="7DFB48C3" w14:textId="5FC3E949" w:rsidR="00145E2C" w:rsidRPr="00B96775" w:rsidRDefault="000A4E72" w:rsidP="00145E2C">
            <w:pPr>
              <w:jc w:val="both"/>
              <w:rPr>
                <w:rFonts w:ascii="Arial Narrow" w:hAnsi="Arial Narrow" w:cs="Arial"/>
                <w:sz w:val="22"/>
                <w:szCs w:val="22"/>
              </w:rPr>
            </w:pPr>
            <w:r w:rsidRPr="000A4E72">
              <w:rPr>
                <w:rFonts w:ascii="Arial Narrow" w:hAnsi="Arial Narrow" w:cs="Arial"/>
                <w:i/>
                <w:sz w:val="22"/>
                <w:szCs w:val="22"/>
              </w:rPr>
              <w:t>(Pendiente)</w:t>
            </w:r>
          </w:p>
        </w:tc>
      </w:tr>
      <w:tr w:rsidR="00145E2C" w:rsidRPr="00B96775" w14:paraId="43C4258D" w14:textId="77777777" w:rsidTr="00480AB2">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64997161" w14:textId="77777777" w:rsidR="00145E2C" w:rsidRPr="00B96775" w:rsidRDefault="00145E2C" w:rsidP="00B96775">
            <w:pPr>
              <w:jc w:val="both"/>
              <w:rPr>
                <w:rFonts w:ascii="Arial Narrow" w:hAnsi="Arial Narrow" w:cs="Arial"/>
                <w:sz w:val="22"/>
                <w:szCs w:val="22"/>
              </w:rPr>
            </w:pPr>
            <w:r w:rsidRPr="00B96775">
              <w:rPr>
                <w:rFonts w:ascii="Arial Narrow" w:hAnsi="Arial Narrow" w:cs="Arial"/>
                <w:sz w:val="22"/>
                <w:szCs w:val="22"/>
              </w:rPr>
              <w:t>Concepto de aprobación nuevos trámites del Departamento Administrativo de la Función Pública</w:t>
            </w:r>
          </w:p>
          <w:p w14:paraId="6D9F7E89" w14:textId="77777777" w:rsidR="00145E2C" w:rsidRPr="00B96775" w:rsidRDefault="00145E2C" w:rsidP="00B96775">
            <w:pPr>
              <w:jc w:val="both"/>
              <w:rPr>
                <w:rFonts w:ascii="Arial Narrow" w:hAnsi="Arial Narrow" w:cs="Arial"/>
                <w:sz w:val="22"/>
                <w:szCs w:val="22"/>
              </w:rPr>
            </w:pPr>
            <w:r w:rsidRPr="00B96775">
              <w:rPr>
                <w:rFonts w:ascii="Arial Narrow" w:hAnsi="Arial Narrow" w:cs="Arial"/>
                <w:i/>
                <w:color w:val="808080"/>
                <w:sz w:val="22"/>
                <w:szCs w:val="22"/>
              </w:rPr>
              <w:t>(Cuando el proyecto normativo adopte o modifique un trámite)</w:t>
            </w:r>
          </w:p>
        </w:tc>
        <w:tc>
          <w:tcPr>
            <w:tcW w:w="3119" w:type="dxa"/>
            <w:tcBorders>
              <w:top w:val="single" w:sz="4" w:space="0" w:color="auto"/>
              <w:left w:val="single" w:sz="4" w:space="0" w:color="auto"/>
              <w:bottom w:val="single" w:sz="4" w:space="0" w:color="auto"/>
            </w:tcBorders>
            <w:shd w:val="clear" w:color="auto" w:fill="FFFFFF"/>
            <w:vAlign w:val="center"/>
          </w:tcPr>
          <w:p w14:paraId="1AC647FB" w14:textId="0B415746" w:rsidR="00145E2C" w:rsidRPr="00B96775" w:rsidRDefault="000A4E72" w:rsidP="00145E2C">
            <w:pPr>
              <w:jc w:val="both"/>
              <w:rPr>
                <w:rFonts w:ascii="Arial Narrow" w:hAnsi="Arial Narrow" w:cs="Arial"/>
                <w:sz w:val="22"/>
                <w:szCs w:val="22"/>
              </w:rPr>
            </w:pPr>
            <w:r w:rsidRPr="000A4E72">
              <w:rPr>
                <w:rFonts w:ascii="Arial Narrow" w:hAnsi="Arial Narrow" w:cs="Arial"/>
                <w:i/>
                <w:sz w:val="22"/>
                <w:szCs w:val="22"/>
              </w:rPr>
              <w:t>No aplica</w:t>
            </w:r>
          </w:p>
        </w:tc>
      </w:tr>
      <w:tr w:rsidR="00145E2C" w:rsidRPr="00B96775" w14:paraId="671EEF60" w14:textId="77777777" w:rsidTr="00480AB2">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56E162FF" w14:textId="77777777" w:rsidR="00145E2C" w:rsidRPr="00B96775" w:rsidRDefault="00145E2C" w:rsidP="00B96775">
            <w:pPr>
              <w:jc w:val="both"/>
              <w:rPr>
                <w:rFonts w:ascii="Arial Narrow" w:hAnsi="Arial Narrow" w:cs="Arial"/>
                <w:sz w:val="22"/>
                <w:szCs w:val="22"/>
              </w:rPr>
            </w:pPr>
            <w:r w:rsidRPr="00B96775">
              <w:rPr>
                <w:rFonts w:ascii="Arial Narrow" w:hAnsi="Arial Narrow" w:cs="Arial"/>
                <w:sz w:val="22"/>
                <w:szCs w:val="22"/>
              </w:rPr>
              <w:t xml:space="preserve">Otro </w:t>
            </w:r>
          </w:p>
          <w:p w14:paraId="1F9FA323" w14:textId="77777777" w:rsidR="00145E2C" w:rsidRPr="00B96775" w:rsidRDefault="00145E2C" w:rsidP="00B96775">
            <w:pPr>
              <w:jc w:val="both"/>
              <w:rPr>
                <w:rFonts w:ascii="Arial Narrow" w:hAnsi="Arial Narrow" w:cs="Arial"/>
                <w:sz w:val="22"/>
                <w:szCs w:val="22"/>
              </w:rPr>
            </w:pPr>
            <w:r w:rsidRPr="00B96775">
              <w:rPr>
                <w:rFonts w:ascii="Arial Narrow" w:hAnsi="Arial Narrow" w:cs="Arial"/>
                <w:i/>
                <w:color w:val="808080"/>
                <w:sz w:val="22"/>
                <w:szCs w:val="22"/>
              </w:rPr>
              <w:t>(Cualquier otro aspecto que la entidad originadora de la norma considere relevante o de importancia)</w:t>
            </w:r>
          </w:p>
        </w:tc>
        <w:tc>
          <w:tcPr>
            <w:tcW w:w="3119" w:type="dxa"/>
            <w:tcBorders>
              <w:top w:val="single" w:sz="4" w:space="0" w:color="auto"/>
              <w:left w:val="single" w:sz="4" w:space="0" w:color="auto"/>
              <w:bottom w:val="single" w:sz="4" w:space="0" w:color="auto"/>
            </w:tcBorders>
            <w:shd w:val="clear" w:color="auto" w:fill="FFFFFF"/>
            <w:vAlign w:val="center"/>
          </w:tcPr>
          <w:p w14:paraId="4A4228AA" w14:textId="77777777" w:rsidR="00145E2C" w:rsidRPr="00B96775" w:rsidRDefault="00145E2C" w:rsidP="00145E2C">
            <w:pPr>
              <w:jc w:val="both"/>
              <w:rPr>
                <w:rFonts w:ascii="Arial Narrow" w:hAnsi="Arial Narrow" w:cs="Arial"/>
                <w:sz w:val="22"/>
                <w:szCs w:val="22"/>
              </w:rPr>
            </w:pPr>
            <w:r w:rsidRPr="00B96775">
              <w:rPr>
                <w:rFonts w:ascii="Arial Narrow" w:hAnsi="Arial Narrow" w:cs="Arial"/>
                <w:i/>
                <w:color w:val="808080"/>
                <w:sz w:val="22"/>
                <w:szCs w:val="22"/>
              </w:rPr>
              <w:t>(Marque con una x)</w:t>
            </w:r>
          </w:p>
        </w:tc>
      </w:tr>
    </w:tbl>
    <w:p w14:paraId="28D22C1D" w14:textId="77777777" w:rsidR="00301DC2" w:rsidRPr="00431BB6" w:rsidRDefault="00301DC2" w:rsidP="00587695">
      <w:pPr>
        <w:ind w:right="-377"/>
        <w:jc w:val="both"/>
        <w:rPr>
          <w:rFonts w:ascii="Arial Narrow" w:hAnsi="Arial Narrow" w:cs="Arial"/>
          <w:sz w:val="22"/>
          <w:szCs w:val="22"/>
        </w:rPr>
      </w:pPr>
    </w:p>
    <w:p w14:paraId="0724C31F" w14:textId="77777777" w:rsidR="00014D67" w:rsidRDefault="00014D67" w:rsidP="00431BB6">
      <w:pPr>
        <w:ind w:right="-377"/>
        <w:jc w:val="both"/>
        <w:rPr>
          <w:rFonts w:ascii="Arial Narrow" w:hAnsi="Arial Narrow" w:cs="Arial"/>
          <w:sz w:val="22"/>
          <w:szCs w:val="22"/>
        </w:rPr>
      </w:pPr>
    </w:p>
    <w:p w14:paraId="4757FDDB" w14:textId="77777777" w:rsidR="003D50F4" w:rsidRDefault="003D50F4" w:rsidP="003D50F4">
      <w:pPr>
        <w:ind w:left="-1276" w:right="-377" w:firstLine="283"/>
        <w:jc w:val="both"/>
        <w:rPr>
          <w:rFonts w:ascii="Arial Narrow" w:hAnsi="Arial Narrow" w:cs="Arial"/>
          <w:b/>
        </w:rPr>
      </w:pPr>
      <w:r w:rsidRPr="00114D58">
        <w:rPr>
          <w:rFonts w:ascii="Arial Narrow" w:hAnsi="Arial Narrow" w:cs="Arial"/>
          <w:b/>
        </w:rPr>
        <w:t>Aprobó:</w:t>
      </w:r>
    </w:p>
    <w:p w14:paraId="703C99AA" w14:textId="77777777" w:rsidR="00213108" w:rsidRDefault="00213108" w:rsidP="003D50F4">
      <w:pPr>
        <w:ind w:left="-1276" w:right="-377" w:firstLine="283"/>
        <w:jc w:val="both"/>
        <w:rPr>
          <w:rFonts w:ascii="Arial Narrow" w:hAnsi="Arial Narrow" w:cs="Arial"/>
          <w:b/>
        </w:rPr>
      </w:pPr>
    </w:p>
    <w:p w14:paraId="70CC3542" w14:textId="77777777" w:rsidR="00825253" w:rsidRPr="00431BB6" w:rsidRDefault="00825253" w:rsidP="00825253">
      <w:pPr>
        <w:ind w:left="-993"/>
        <w:jc w:val="center"/>
        <w:rPr>
          <w:rFonts w:ascii="Arial Narrow" w:hAnsi="Arial Narrow" w:cs="Arial"/>
          <w:b/>
        </w:rPr>
      </w:pPr>
      <w:r w:rsidRPr="00431BB6">
        <w:rPr>
          <w:rFonts w:ascii="Arial Narrow" w:hAnsi="Arial Narrow" w:cs="Arial"/>
          <w:b/>
        </w:rPr>
        <w:t>_______________</w:t>
      </w:r>
      <w:r>
        <w:rPr>
          <w:rFonts w:ascii="Arial Narrow" w:hAnsi="Arial Narrow" w:cs="Arial"/>
          <w:b/>
        </w:rPr>
        <w:t>______________________________________________________</w:t>
      </w:r>
      <w:r w:rsidRPr="00431BB6">
        <w:rPr>
          <w:rFonts w:ascii="Arial Narrow" w:hAnsi="Arial Narrow" w:cs="Arial"/>
          <w:b/>
        </w:rPr>
        <w:t>__</w:t>
      </w:r>
    </w:p>
    <w:p w14:paraId="65242986" w14:textId="77777777" w:rsidR="00825253" w:rsidRDefault="00825253" w:rsidP="00825253">
      <w:pPr>
        <w:ind w:left="-993"/>
        <w:jc w:val="center"/>
        <w:rPr>
          <w:rFonts w:ascii="Arial Narrow" w:hAnsi="Arial Narrow" w:cs="Arial"/>
          <w:b/>
        </w:rPr>
      </w:pPr>
      <w:r>
        <w:rPr>
          <w:rFonts w:ascii="Arial Narrow" w:hAnsi="Arial Narrow" w:cs="Arial"/>
          <w:b/>
        </w:rPr>
        <w:t>Laura Camila Ramos Díaz</w:t>
      </w:r>
    </w:p>
    <w:p w14:paraId="3759DFF5" w14:textId="77777777" w:rsidR="00825253" w:rsidRPr="00431BB6" w:rsidRDefault="00825253" w:rsidP="00825253">
      <w:pPr>
        <w:ind w:left="-993"/>
        <w:jc w:val="center"/>
        <w:rPr>
          <w:rFonts w:ascii="Arial Narrow" w:hAnsi="Arial Narrow" w:cs="Arial"/>
          <w:b/>
        </w:rPr>
      </w:pPr>
      <w:r w:rsidRPr="00431BB6">
        <w:rPr>
          <w:rFonts w:ascii="Arial Narrow" w:hAnsi="Arial Narrow" w:cs="Arial"/>
          <w:b/>
        </w:rPr>
        <w:t xml:space="preserve">Jefe de la Oficina Jurídica </w:t>
      </w:r>
    </w:p>
    <w:p w14:paraId="2F7A3E42" w14:textId="77777777" w:rsidR="00213108" w:rsidRDefault="00213108" w:rsidP="003D50F4">
      <w:pPr>
        <w:ind w:left="-1276" w:right="-377" w:firstLine="283"/>
        <w:jc w:val="both"/>
        <w:rPr>
          <w:rFonts w:ascii="Arial Narrow" w:hAnsi="Arial Narrow" w:cs="Arial"/>
          <w:b/>
        </w:rPr>
      </w:pPr>
    </w:p>
    <w:p w14:paraId="1ADE9EDE" w14:textId="77777777" w:rsidR="00213108" w:rsidRDefault="00213108" w:rsidP="003D50F4">
      <w:pPr>
        <w:ind w:left="-1276" w:right="-377" w:firstLine="283"/>
        <w:jc w:val="both"/>
        <w:rPr>
          <w:rFonts w:ascii="Arial Narrow" w:hAnsi="Arial Narrow" w:cs="Arial"/>
          <w:b/>
        </w:rPr>
      </w:pPr>
    </w:p>
    <w:p w14:paraId="26185FDD" w14:textId="77777777" w:rsidR="00213108" w:rsidRDefault="00213108" w:rsidP="003D50F4">
      <w:pPr>
        <w:ind w:left="-1276" w:right="-377" w:firstLine="283"/>
        <w:jc w:val="both"/>
        <w:rPr>
          <w:rFonts w:ascii="Arial Narrow" w:hAnsi="Arial Narrow" w:cs="Arial"/>
          <w:b/>
        </w:rPr>
      </w:pPr>
    </w:p>
    <w:p w14:paraId="4C2D12C7" w14:textId="77777777" w:rsidR="004C361E" w:rsidRDefault="004C361E" w:rsidP="004C361E">
      <w:pPr>
        <w:ind w:left="-993"/>
        <w:jc w:val="center"/>
        <w:rPr>
          <w:rFonts w:ascii="Arial Narrow" w:hAnsi="Arial Narrow" w:cs="Arial"/>
          <w:b/>
        </w:rPr>
      </w:pPr>
    </w:p>
    <w:p w14:paraId="7836390D" w14:textId="77777777" w:rsidR="004C361E" w:rsidRPr="00431BB6" w:rsidRDefault="004C361E" w:rsidP="004C361E">
      <w:pPr>
        <w:ind w:left="-993"/>
        <w:jc w:val="center"/>
        <w:rPr>
          <w:rFonts w:ascii="Arial Narrow" w:hAnsi="Arial Narrow" w:cs="Arial"/>
          <w:b/>
        </w:rPr>
      </w:pPr>
      <w:r>
        <w:rPr>
          <w:rFonts w:ascii="Arial Narrow" w:hAnsi="Arial Narrow" w:cs="Arial"/>
          <w:b/>
        </w:rPr>
        <w:t>_______________________________________________________________________</w:t>
      </w:r>
    </w:p>
    <w:p w14:paraId="5337A2FB" w14:textId="77777777" w:rsidR="004C361E" w:rsidRDefault="004C361E" w:rsidP="004C361E">
      <w:pPr>
        <w:ind w:left="-993"/>
        <w:jc w:val="center"/>
        <w:rPr>
          <w:rFonts w:ascii="Arial Narrow" w:hAnsi="Arial Narrow" w:cs="Arial"/>
          <w:b/>
        </w:rPr>
      </w:pPr>
      <w:proofErr w:type="spellStart"/>
      <w:r>
        <w:rPr>
          <w:rFonts w:ascii="Arial Narrow" w:hAnsi="Arial Narrow" w:cs="Arial"/>
          <w:b/>
        </w:rPr>
        <w:t>Yiovani</w:t>
      </w:r>
      <w:proofErr w:type="spellEnd"/>
      <w:r>
        <w:rPr>
          <w:rFonts w:ascii="Arial Narrow" w:hAnsi="Arial Narrow" w:cs="Arial"/>
          <w:b/>
        </w:rPr>
        <w:t xml:space="preserve"> Palechor Mopán</w:t>
      </w:r>
    </w:p>
    <w:p w14:paraId="18744962" w14:textId="77777777" w:rsidR="004C361E" w:rsidRPr="00431BB6" w:rsidRDefault="004C361E" w:rsidP="004C361E">
      <w:pPr>
        <w:ind w:left="-993"/>
        <w:jc w:val="center"/>
        <w:rPr>
          <w:rFonts w:ascii="Arial Narrow" w:hAnsi="Arial Narrow" w:cs="Arial"/>
          <w:b/>
        </w:rPr>
      </w:pPr>
      <w:r>
        <w:rPr>
          <w:rFonts w:ascii="Arial Narrow" w:hAnsi="Arial Narrow" w:cs="Arial"/>
          <w:b/>
        </w:rPr>
        <w:t xml:space="preserve">Director de Asuntos Ambientales Sectorial y Urbana. </w:t>
      </w:r>
    </w:p>
    <w:p w14:paraId="134AE9C9" w14:textId="77777777" w:rsidR="00213108" w:rsidRDefault="00213108" w:rsidP="003D50F4">
      <w:pPr>
        <w:ind w:left="-1276" w:right="-377" w:firstLine="283"/>
        <w:jc w:val="both"/>
        <w:rPr>
          <w:rFonts w:ascii="Arial Narrow" w:hAnsi="Arial Narrow" w:cs="Arial"/>
          <w:b/>
        </w:rPr>
      </w:pPr>
    </w:p>
    <w:p w14:paraId="227334FF" w14:textId="77777777" w:rsidR="00213108" w:rsidRPr="00114D58" w:rsidRDefault="00213108" w:rsidP="003D50F4">
      <w:pPr>
        <w:ind w:left="-1276" w:right="-377" w:firstLine="283"/>
        <w:jc w:val="both"/>
        <w:rPr>
          <w:rFonts w:ascii="Arial Narrow" w:hAnsi="Arial Narrow" w:cs="Arial"/>
          <w:b/>
        </w:rPr>
      </w:pPr>
    </w:p>
    <w:p w14:paraId="0C85984F" w14:textId="5FB58510" w:rsidR="006779DA" w:rsidRPr="00114D58" w:rsidRDefault="006779DA" w:rsidP="003D65FA">
      <w:pPr>
        <w:pStyle w:val="Listavistosa-nfasis11"/>
        <w:ind w:left="0"/>
        <w:rPr>
          <w:rFonts w:ascii="Arial Narrow" w:hAnsi="Arial Narrow" w:cs="Arial"/>
          <w:b/>
          <w:sz w:val="18"/>
          <w:szCs w:val="18"/>
        </w:rPr>
      </w:pPr>
    </w:p>
    <w:sectPr w:rsidR="006779DA" w:rsidRPr="00114D58" w:rsidSect="00E86F99">
      <w:headerReference w:type="even" r:id="rId8"/>
      <w:headerReference w:type="default" r:id="rId9"/>
      <w:footerReference w:type="default" r:id="rId10"/>
      <w:headerReference w:type="first" r:id="rId11"/>
      <w:footerReference w:type="first" r:id="rId12"/>
      <w:type w:val="continuous"/>
      <w:pgSz w:w="12240" w:h="15840" w:code="1"/>
      <w:pgMar w:top="1616" w:right="616" w:bottom="1115" w:left="1701" w:header="624"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E81D" w14:textId="77777777" w:rsidR="00A6467D" w:rsidRDefault="00A6467D">
      <w:r>
        <w:separator/>
      </w:r>
    </w:p>
  </w:endnote>
  <w:endnote w:type="continuationSeparator" w:id="0">
    <w:p w14:paraId="1AB9B73C" w14:textId="77777777" w:rsidR="00A6467D" w:rsidRDefault="00A6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97EA" w14:textId="77777777" w:rsidR="00196D83" w:rsidRDefault="00196D83" w:rsidP="00CE5AB3">
    <w:pPr>
      <w:pStyle w:val="Piedepgina"/>
      <w:tabs>
        <w:tab w:val="left" w:pos="3555"/>
      </w:tabs>
      <w:ind w:left="-993"/>
      <w:rPr>
        <w:rFonts w:ascii="Arial Narrow" w:hAnsi="Arial Narrow"/>
        <w:color w:val="7F7F7F"/>
        <w:sz w:val="18"/>
        <w:szCs w:val="18"/>
      </w:rPr>
    </w:pPr>
    <w:bookmarkStart w:id="7" w:name="_Hlk52279145"/>
    <w:r w:rsidRPr="005A4F38">
      <w:rPr>
        <w:rFonts w:ascii="Arial Narrow" w:hAnsi="Arial Narrow"/>
        <w:color w:val="7F7F7F"/>
        <w:sz w:val="18"/>
        <w:szCs w:val="18"/>
      </w:rPr>
      <w:t xml:space="preserve">Formato tomado del Departamento Administrativo de la Función Pública a partir de lo reglamentado por medio del Decreto 1273 </w:t>
    </w:r>
    <w:r>
      <w:rPr>
        <w:rFonts w:ascii="Arial Narrow" w:hAnsi="Arial Narrow"/>
        <w:color w:val="7F7F7F"/>
        <w:sz w:val="18"/>
        <w:szCs w:val="18"/>
      </w:rPr>
      <w:t xml:space="preserve">de 2020 </w:t>
    </w:r>
    <w:r w:rsidRPr="005A4F38">
      <w:rPr>
        <w:rFonts w:ascii="Arial Narrow" w:hAnsi="Arial Narrow"/>
        <w:color w:val="7F7F7F"/>
        <w:sz w:val="18"/>
        <w:szCs w:val="18"/>
      </w:rPr>
      <w:t>y la Resolución 371 de 2020.</w:t>
    </w:r>
    <w:bookmarkEnd w:id="7"/>
    <w:r w:rsidRPr="005A4F38">
      <w:rPr>
        <w:rFonts w:ascii="Arial Narrow" w:hAnsi="Arial Narrow"/>
        <w:color w:val="7F7F7F"/>
        <w:sz w:val="18"/>
        <w:szCs w:val="18"/>
      </w:rPr>
      <w:tab/>
      <w:t xml:space="preserve">      </w:t>
    </w:r>
    <w:r>
      <w:rPr>
        <w:rFonts w:ascii="Arial Narrow" w:hAnsi="Arial Narrow"/>
        <w:color w:val="7F7F7F"/>
        <w:sz w:val="18"/>
        <w:szCs w:val="18"/>
      </w:rPr>
      <w:t xml:space="preserve">                         </w:t>
    </w:r>
  </w:p>
  <w:p w14:paraId="5304A3AE" w14:textId="77777777" w:rsidR="00196D83" w:rsidRPr="002F32A6" w:rsidRDefault="00196D83" w:rsidP="00CE5AB3">
    <w:pPr>
      <w:pStyle w:val="Piedepgina"/>
      <w:tabs>
        <w:tab w:val="left" w:pos="3555"/>
      </w:tabs>
      <w:ind w:left="-993"/>
      <w:rPr>
        <w:sz w:val="18"/>
        <w:szCs w:val="18"/>
      </w:rPr>
    </w:pPr>
    <w:r w:rsidRPr="002F32A6">
      <w:rPr>
        <w:sz w:val="18"/>
        <w:szCs w:val="18"/>
      </w:rPr>
      <w:t xml:space="preserve">Calle 37 No. 8 – 40 </w:t>
    </w:r>
  </w:p>
  <w:p w14:paraId="74082279" w14:textId="77777777" w:rsidR="00196D83" w:rsidRDefault="00196D83" w:rsidP="00CE5AB3">
    <w:pPr>
      <w:pStyle w:val="Piedepgina"/>
      <w:tabs>
        <w:tab w:val="left" w:pos="3555"/>
      </w:tabs>
      <w:ind w:left="-993"/>
      <w:rPr>
        <w:sz w:val="18"/>
        <w:szCs w:val="18"/>
      </w:rPr>
    </w:pPr>
    <w:r>
      <w:rPr>
        <w:sz w:val="18"/>
        <w:szCs w:val="18"/>
      </w:rPr>
      <w:t>Conmutador +57 601</w:t>
    </w:r>
    <w:r w:rsidRPr="002F32A6">
      <w:rPr>
        <w:sz w:val="18"/>
        <w:szCs w:val="18"/>
      </w:rPr>
      <w:t>3323400</w:t>
    </w:r>
  </w:p>
  <w:p w14:paraId="771F7B1B" w14:textId="77777777" w:rsidR="00196D83" w:rsidRPr="002F32A6" w:rsidRDefault="00A6467D" w:rsidP="00CE5AB3">
    <w:pPr>
      <w:pStyle w:val="Piedepgina"/>
      <w:tabs>
        <w:tab w:val="left" w:pos="3555"/>
      </w:tabs>
      <w:ind w:left="-993"/>
      <w:rPr>
        <w:sz w:val="18"/>
        <w:szCs w:val="18"/>
      </w:rPr>
    </w:pPr>
    <w:hyperlink r:id="rId1" w:history="1">
      <w:r w:rsidR="00196D83" w:rsidRPr="002F32A6">
        <w:rPr>
          <w:rStyle w:val="Hipervnculo"/>
          <w:sz w:val="18"/>
          <w:szCs w:val="18"/>
        </w:rPr>
        <w:t>www.minambiente.gov.co</w:t>
      </w:r>
    </w:hyperlink>
  </w:p>
  <w:p w14:paraId="0DC2C475" w14:textId="63623F2F" w:rsidR="00196D83" w:rsidRDefault="00196D83" w:rsidP="00CE5AB3">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7B35B2">
      <w:rPr>
        <w:b/>
        <w:bCs/>
        <w:noProof/>
      </w:rPr>
      <w:t>9</w:t>
    </w:r>
    <w:r w:rsidRPr="00722047">
      <w:rPr>
        <w:b/>
        <w:bCs/>
      </w:rPr>
      <w:fldChar w:fldCharType="end"/>
    </w:r>
    <w:r w:rsidRPr="00722047">
      <w:t xml:space="preserve"> de </w:t>
    </w:r>
    <w:r>
      <w:t>5</w:t>
    </w:r>
  </w:p>
  <w:p w14:paraId="03F7638C" w14:textId="77777777" w:rsidR="00196D83" w:rsidRDefault="00196D83" w:rsidP="00CE5AB3">
    <w:pPr>
      <w:pStyle w:val="Piedepgina"/>
      <w:tabs>
        <w:tab w:val="left" w:pos="3555"/>
      </w:tabs>
      <w:ind w:left="-993"/>
    </w:pPr>
  </w:p>
  <w:p w14:paraId="44B29753" w14:textId="77777777" w:rsidR="00196D83" w:rsidRPr="00CE5AB3" w:rsidRDefault="00196D83"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F80AD" w14:textId="77777777" w:rsidR="00196D83" w:rsidRDefault="00196D83"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2B184C28" w14:textId="77777777" w:rsidR="00196D83" w:rsidRDefault="00196D83"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5E2E762B" w14:textId="77777777" w:rsidR="00196D83" w:rsidRDefault="00196D83"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37782F15" w14:textId="77777777" w:rsidR="00196D83" w:rsidRPr="008F0815" w:rsidRDefault="00196D83"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18B2FBD8" w14:textId="77777777" w:rsidR="00196D83" w:rsidRDefault="00196D8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62088" w14:textId="77777777" w:rsidR="00A6467D" w:rsidRDefault="00A6467D">
      <w:r>
        <w:separator/>
      </w:r>
    </w:p>
  </w:footnote>
  <w:footnote w:type="continuationSeparator" w:id="0">
    <w:p w14:paraId="6BF5D7F8" w14:textId="77777777" w:rsidR="00A6467D" w:rsidRDefault="00A64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348A" w14:textId="77777777" w:rsidR="00196D83" w:rsidRDefault="00A6467D">
    <w:pPr>
      <w:pStyle w:val="Encabezado"/>
    </w:pPr>
    <w:r>
      <w:rPr>
        <w:noProof/>
        <w:lang w:val="es-CO" w:eastAsia="es-CO"/>
      </w:rPr>
      <w:pict w14:anchorId="2CFBB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2050" type="#_x0000_t75" alt="" style="position:absolute;margin-left:0;margin-top:0;width:496.05pt;height:149.6pt;z-index:-251658240;mso-wrap-edited:f;mso-width-percent:0;mso-height-percent:0;mso-position-horizontal:center;mso-position-horizontal-relative:margin;mso-position-vertical:center;mso-position-vertical-relative:margin;mso-width-percent:0;mso-height-percent:0" o:allowincell="f">
          <v:imagedata r:id="rId1" o:title="Logo Marca de 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8E85F" w14:textId="77777777" w:rsidR="00196D83" w:rsidRDefault="00196D83">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196D83" w:rsidRPr="009E07BE" w14:paraId="4101CBEE" w14:textId="77777777" w:rsidTr="00CE5AB3">
      <w:trPr>
        <w:cantSplit/>
        <w:trHeight w:val="313"/>
      </w:trPr>
      <w:tc>
        <w:tcPr>
          <w:tcW w:w="2722" w:type="dxa"/>
          <w:vMerge w:val="restart"/>
          <w:vAlign w:val="center"/>
        </w:tcPr>
        <w:p w14:paraId="04277342" w14:textId="77777777" w:rsidR="00196D83" w:rsidRPr="001D62F3" w:rsidRDefault="00196D83"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787D7048" w14:textId="77777777" w:rsidR="00196D83" w:rsidRPr="00B80E2A" w:rsidRDefault="00196D83"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7F497B08" w14:textId="77777777" w:rsidR="00196D83" w:rsidRPr="001D62F3" w:rsidRDefault="00196D83" w:rsidP="00CE5AB3">
          <w:pPr>
            <w:ind w:right="-42"/>
            <w:jc w:val="center"/>
            <w:rPr>
              <w:rFonts w:cs="Arial"/>
              <w:b/>
              <w:bCs/>
              <w:spacing w:val="-6"/>
            </w:rPr>
          </w:pPr>
          <w:r w:rsidRPr="00CE5AB3">
            <w:rPr>
              <w:rFonts w:cs="Arial"/>
              <w:b/>
              <w:noProof/>
              <w:spacing w:val="-6"/>
              <w:lang w:val="es-MX" w:eastAsia="es-MX"/>
            </w:rPr>
            <w:drawing>
              <wp:inline distT="0" distB="0" distL="0" distR="0" wp14:anchorId="59A1405A" wp14:editId="1A2EA752">
                <wp:extent cx="1046480" cy="325120"/>
                <wp:effectExtent l="0" t="0" r="0" b="0"/>
                <wp:docPr id="1" name="Imagen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1"/>
                        <pic:cNvPicPr>
                          <a:picLocks/>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6480" cy="325120"/>
                        </a:xfrm>
                        <a:prstGeom prst="rect">
                          <a:avLst/>
                        </a:prstGeom>
                        <a:noFill/>
                        <a:ln>
                          <a:noFill/>
                        </a:ln>
                      </pic:spPr>
                    </pic:pic>
                  </a:graphicData>
                </a:graphic>
              </wp:inline>
            </w:drawing>
          </w:r>
        </w:p>
      </w:tc>
    </w:tr>
    <w:tr w:rsidR="00196D83" w:rsidRPr="009E07BE" w14:paraId="3FAA768A" w14:textId="77777777" w:rsidTr="00CE5AB3">
      <w:trPr>
        <w:cantSplit/>
        <w:trHeight w:val="316"/>
      </w:trPr>
      <w:tc>
        <w:tcPr>
          <w:tcW w:w="2722" w:type="dxa"/>
          <w:vMerge/>
          <w:vAlign w:val="center"/>
        </w:tcPr>
        <w:p w14:paraId="7CF94432" w14:textId="77777777" w:rsidR="00196D83" w:rsidRPr="001D62F3" w:rsidRDefault="00196D83" w:rsidP="00CE5AB3">
          <w:pPr>
            <w:jc w:val="center"/>
            <w:rPr>
              <w:rFonts w:cs="Arial"/>
              <w:bCs/>
              <w:spacing w:val="-6"/>
              <w:szCs w:val="17"/>
            </w:rPr>
          </w:pPr>
        </w:p>
      </w:tc>
      <w:tc>
        <w:tcPr>
          <w:tcW w:w="6209" w:type="dxa"/>
          <w:shd w:val="clear" w:color="auto" w:fill="E1E1E1"/>
        </w:tcPr>
        <w:p w14:paraId="01BA3119" w14:textId="77777777" w:rsidR="00196D83" w:rsidRPr="001D62F3" w:rsidRDefault="00196D83" w:rsidP="00CE5AB3">
          <w:pPr>
            <w:ind w:right="-42"/>
            <w:jc w:val="center"/>
            <w:rPr>
              <w:rFonts w:cs="Arial"/>
              <w:bCs/>
              <w:spacing w:val="-6"/>
            </w:rPr>
          </w:pPr>
          <w:r>
            <w:rPr>
              <w:b/>
              <w:bCs/>
            </w:rPr>
            <w:t xml:space="preserve">Proceso: </w:t>
          </w:r>
          <w:r>
            <w:t>Gestión jurídica</w:t>
          </w:r>
        </w:p>
      </w:tc>
      <w:tc>
        <w:tcPr>
          <w:tcW w:w="1843" w:type="dxa"/>
          <w:vMerge/>
          <w:vAlign w:val="center"/>
        </w:tcPr>
        <w:p w14:paraId="5EFA3404" w14:textId="77777777" w:rsidR="00196D83" w:rsidRPr="001D62F3" w:rsidRDefault="00196D83" w:rsidP="00CE5AB3">
          <w:pPr>
            <w:ind w:right="-42"/>
            <w:jc w:val="center"/>
            <w:rPr>
              <w:rFonts w:cs="Arial"/>
              <w:bCs/>
              <w:spacing w:val="-6"/>
            </w:rPr>
          </w:pPr>
        </w:p>
      </w:tc>
    </w:tr>
    <w:tr w:rsidR="00196D83" w:rsidRPr="009E07BE" w14:paraId="7AE7BF0C" w14:textId="77777777" w:rsidTr="00CE5AB3">
      <w:trPr>
        <w:cantSplit/>
        <w:trHeight w:val="339"/>
      </w:trPr>
      <w:tc>
        <w:tcPr>
          <w:tcW w:w="2722" w:type="dxa"/>
          <w:vAlign w:val="center"/>
        </w:tcPr>
        <w:p w14:paraId="09926AFF" w14:textId="77777777" w:rsidR="00196D83" w:rsidRPr="001D62F3" w:rsidRDefault="00196D83"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511F6A77" w14:textId="77777777" w:rsidR="00196D83" w:rsidRPr="001D62F3" w:rsidRDefault="00196D83" w:rsidP="00D82FA2">
          <w:pPr>
            <w:ind w:right="-42"/>
            <w:jc w:val="center"/>
            <w:rPr>
              <w:rFonts w:cs="Arial"/>
              <w:bCs/>
              <w:spacing w:val="-6"/>
              <w:sz w:val="16"/>
            </w:rPr>
          </w:pPr>
          <w:r>
            <w:rPr>
              <w:b/>
              <w:bCs/>
              <w:sz w:val="16"/>
              <w:szCs w:val="16"/>
            </w:rPr>
            <w:t>Vigencia</w:t>
          </w:r>
          <w:r>
            <w:rPr>
              <w:sz w:val="16"/>
              <w:szCs w:val="16"/>
            </w:rPr>
            <w:t>: 25/11/2022</w:t>
          </w:r>
        </w:p>
      </w:tc>
      <w:tc>
        <w:tcPr>
          <w:tcW w:w="1843" w:type="dxa"/>
          <w:vAlign w:val="center"/>
        </w:tcPr>
        <w:p w14:paraId="3D44290D" w14:textId="77777777" w:rsidR="00196D83" w:rsidRPr="001D62F3" w:rsidRDefault="00196D83"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27991BB5" w14:textId="77777777" w:rsidR="00196D83" w:rsidRDefault="00196D83">
    <w:pPr>
      <w:pStyle w:val="Encabezado"/>
    </w:pPr>
    <w:r>
      <w:rPr>
        <w:noProof/>
        <w:lang w:val="es-MX" w:eastAsia="es-MX"/>
      </w:rPr>
      <w:drawing>
        <wp:anchor distT="0" distB="0" distL="114300" distR="114300" simplePos="0" relativeHeight="251659264" behindDoc="1" locked="0" layoutInCell="1" allowOverlap="1" wp14:anchorId="0AD5BA7A" wp14:editId="445F8AF3">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5"/>
                  <pic:cNvPicPr>
                    <a:picLocks/>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196D83" w:rsidRPr="006374A6" w14:paraId="7BEB4E1D" w14:textId="77777777" w:rsidTr="00431BB6">
      <w:trPr>
        <w:cantSplit/>
        <w:trHeight w:val="706"/>
      </w:trPr>
      <w:tc>
        <w:tcPr>
          <w:tcW w:w="1579" w:type="pct"/>
          <w:vMerge w:val="restart"/>
          <w:vAlign w:val="center"/>
        </w:tcPr>
        <w:p w14:paraId="25E381D8" w14:textId="77777777" w:rsidR="00196D83" w:rsidRPr="006374A6" w:rsidRDefault="00196D83"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23F9105D" w14:textId="77777777" w:rsidR="00196D83" w:rsidRPr="00431BB6" w:rsidRDefault="00196D83"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24F591E9" w14:textId="77777777" w:rsidR="00196D83" w:rsidRPr="006374A6" w:rsidRDefault="00196D83" w:rsidP="00431BB6">
          <w:pPr>
            <w:ind w:right="-42"/>
            <w:jc w:val="center"/>
            <w:rPr>
              <w:rFonts w:ascii="Arial Narrow" w:hAnsi="Arial Narrow" w:cs="Arial"/>
              <w:b/>
            </w:rPr>
          </w:pPr>
          <w:r w:rsidRPr="006374A6">
            <w:rPr>
              <w:rFonts w:ascii="Arial Narrow" w:hAnsi="Arial Narrow" w:cs="Arial"/>
              <w:b/>
              <w:noProof/>
              <w:lang w:val="es-MX" w:eastAsia="es-MX"/>
            </w:rPr>
            <w:drawing>
              <wp:anchor distT="0" distB="0" distL="114300" distR="114300" simplePos="0" relativeHeight="251656192" behindDoc="0" locked="0" layoutInCell="1" allowOverlap="1" wp14:anchorId="206261B3" wp14:editId="794AC633">
                <wp:simplePos x="0" y="0"/>
                <wp:positionH relativeFrom="margin">
                  <wp:posOffset>233680</wp:posOffset>
                </wp:positionH>
                <wp:positionV relativeFrom="margin">
                  <wp:posOffset>146050</wp:posOffset>
                </wp:positionV>
                <wp:extent cx="1536700" cy="398780"/>
                <wp:effectExtent l="0" t="0" r="0" b="0"/>
                <wp:wrapSquare wrapText="bothSides"/>
                <wp:docPr id="875987438"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196D83" w:rsidRPr="006374A6" w14:paraId="5B27C2C4" w14:textId="77777777" w:rsidTr="00431BB6">
      <w:trPr>
        <w:cantSplit/>
        <w:trHeight w:val="273"/>
      </w:trPr>
      <w:tc>
        <w:tcPr>
          <w:tcW w:w="1579" w:type="pct"/>
          <w:vMerge/>
          <w:vAlign w:val="center"/>
        </w:tcPr>
        <w:p w14:paraId="0D20B0C4" w14:textId="77777777" w:rsidR="00196D83" w:rsidRPr="006374A6" w:rsidRDefault="00196D83" w:rsidP="00431BB6">
          <w:pPr>
            <w:jc w:val="center"/>
            <w:rPr>
              <w:rFonts w:ascii="Arial Narrow" w:hAnsi="Arial Narrow" w:cs="Arial"/>
              <w:bCs/>
              <w:spacing w:val="-6"/>
            </w:rPr>
          </w:pPr>
        </w:p>
      </w:tc>
      <w:tc>
        <w:tcPr>
          <w:tcW w:w="1936" w:type="pct"/>
          <w:shd w:val="clear" w:color="auto" w:fill="E6EFFD"/>
          <w:vAlign w:val="center"/>
        </w:tcPr>
        <w:p w14:paraId="3A29F6D7" w14:textId="77777777" w:rsidR="00196D83" w:rsidRPr="006374A6" w:rsidRDefault="00196D83"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76EF7350" w14:textId="77777777" w:rsidR="00196D83" w:rsidRPr="006374A6" w:rsidRDefault="00196D83" w:rsidP="00431BB6">
          <w:pPr>
            <w:ind w:right="-42"/>
            <w:jc w:val="center"/>
            <w:rPr>
              <w:rFonts w:ascii="Arial Narrow" w:hAnsi="Arial Narrow" w:cs="Arial"/>
              <w:bCs/>
              <w:spacing w:val="-6"/>
            </w:rPr>
          </w:pPr>
        </w:p>
      </w:tc>
    </w:tr>
    <w:tr w:rsidR="00196D83" w:rsidRPr="006374A6" w14:paraId="14FE630A" w14:textId="77777777" w:rsidTr="00431BB6">
      <w:trPr>
        <w:cantSplit/>
        <w:trHeight w:val="278"/>
      </w:trPr>
      <w:tc>
        <w:tcPr>
          <w:tcW w:w="1579" w:type="pct"/>
          <w:vAlign w:val="center"/>
        </w:tcPr>
        <w:p w14:paraId="1F67B90A" w14:textId="77777777" w:rsidR="00196D83" w:rsidRPr="006374A6" w:rsidRDefault="00196D83"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69327452" w14:textId="77777777" w:rsidR="00196D83" w:rsidRPr="006374A6" w:rsidRDefault="00196D83"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4FA556C3" w14:textId="77777777" w:rsidR="00196D83" w:rsidRPr="006374A6" w:rsidRDefault="00196D83"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7E2A3532" w14:textId="77777777" w:rsidR="00196D83" w:rsidRDefault="00A6467D">
    <w:pPr>
      <w:pStyle w:val="Encabezado"/>
    </w:pPr>
    <w:r>
      <w:rPr>
        <w:rFonts w:ascii="Arial Narrow" w:hAnsi="Arial Narrow" w:cs="Arial"/>
        <w:bCs/>
        <w:noProof/>
        <w:spacing w:val="-6"/>
        <w:lang w:val="es-CO" w:eastAsia="es-CO"/>
      </w:rPr>
      <w:pict w14:anchorId="44A27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2049" type="#_x0000_t75" alt="" style="position:absolute;margin-left:0;margin-top:0;width:496.05pt;height:149.6pt;z-index:-251659264;mso-wrap-edited:f;mso-width-percent:0;mso-height-percent:0;mso-position-horizontal:center;mso-position-horizontal-relative:margin;mso-position-vertical:center;mso-position-vertical-relative:margin;mso-width-percent:0;mso-height-percent:0" o:allowincell="f">
          <v:imagedata r:id="rId2" o:title="Logo Marca de 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776C"/>
    <w:multiLevelType w:val="hybridMultilevel"/>
    <w:tmpl w:val="E0E436D0"/>
    <w:lvl w:ilvl="0" w:tplc="080A000F">
      <w:start w:val="1"/>
      <w:numFmt w:val="decimal"/>
      <w:lvlText w:val="%1."/>
      <w:lvlJc w:val="left"/>
      <w:pPr>
        <w:ind w:left="429" w:hanging="360"/>
      </w:pPr>
      <w:rPr>
        <w:rFonts w:hint="default"/>
      </w:rPr>
    </w:lvl>
    <w:lvl w:ilvl="1" w:tplc="080A0019" w:tentative="1">
      <w:start w:val="1"/>
      <w:numFmt w:val="lowerLetter"/>
      <w:lvlText w:val="%2."/>
      <w:lvlJc w:val="left"/>
      <w:pPr>
        <w:ind w:left="1149" w:hanging="360"/>
      </w:pPr>
    </w:lvl>
    <w:lvl w:ilvl="2" w:tplc="080A001B" w:tentative="1">
      <w:start w:val="1"/>
      <w:numFmt w:val="lowerRoman"/>
      <w:lvlText w:val="%3."/>
      <w:lvlJc w:val="right"/>
      <w:pPr>
        <w:ind w:left="1869" w:hanging="180"/>
      </w:pPr>
    </w:lvl>
    <w:lvl w:ilvl="3" w:tplc="080A000F" w:tentative="1">
      <w:start w:val="1"/>
      <w:numFmt w:val="decimal"/>
      <w:lvlText w:val="%4."/>
      <w:lvlJc w:val="left"/>
      <w:pPr>
        <w:ind w:left="2589" w:hanging="360"/>
      </w:pPr>
    </w:lvl>
    <w:lvl w:ilvl="4" w:tplc="080A0019" w:tentative="1">
      <w:start w:val="1"/>
      <w:numFmt w:val="lowerLetter"/>
      <w:lvlText w:val="%5."/>
      <w:lvlJc w:val="left"/>
      <w:pPr>
        <w:ind w:left="3309" w:hanging="360"/>
      </w:pPr>
    </w:lvl>
    <w:lvl w:ilvl="5" w:tplc="080A001B" w:tentative="1">
      <w:start w:val="1"/>
      <w:numFmt w:val="lowerRoman"/>
      <w:lvlText w:val="%6."/>
      <w:lvlJc w:val="right"/>
      <w:pPr>
        <w:ind w:left="4029" w:hanging="180"/>
      </w:pPr>
    </w:lvl>
    <w:lvl w:ilvl="6" w:tplc="080A000F" w:tentative="1">
      <w:start w:val="1"/>
      <w:numFmt w:val="decimal"/>
      <w:lvlText w:val="%7."/>
      <w:lvlJc w:val="left"/>
      <w:pPr>
        <w:ind w:left="4749" w:hanging="360"/>
      </w:pPr>
    </w:lvl>
    <w:lvl w:ilvl="7" w:tplc="080A0019" w:tentative="1">
      <w:start w:val="1"/>
      <w:numFmt w:val="lowerLetter"/>
      <w:lvlText w:val="%8."/>
      <w:lvlJc w:val="left"/>
      <w:pPr>
        <w:ind w:left="5469" w:hanging="360"/>
      </w:pPr>
    </w:lvl>
    <w:lvl w:ilvl="8" w:tplc="080A001B" w:tentative="1">
      <w:start w:val="1"/>
      <w:numFmt w:val="lowerRoman"/>
      <w:lvlText w:val="%9."/>
      <w:lvlJc w:val="right"/>
      <w:pPr>
        <w:ind w:left="6189" w:hanging="180"/>
      </w:pPr>
    </w:lvl>
  </w:abstractNum>
  <w:abstractNum w:abstractNumId="1" w15:restartNumberingAfterBreak="0">
    <w:nsid w:val="087364C2"/>
    <w:multiLevelType w:val="hybridMultilevel"/>
    <w:tmpl w:val="110C78C2"/>
    <w:lvl w:ilvl="0" w:tplc="FFFFFFFF">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666822"/>
    <w:multiLevelType w:val="hybridMultilevel"/>
    <w:tmpl w:val="58A2A80A"/>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71A6C59"/>
    <w:multiLevelType w:val="hybridMultilevel"/>
    <w:tmpl w:val="0186C13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CB177DD"/>
    <w:multiLevelType w:val="multilevel"/>
    <w:tmpl w:val="4080C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BD65E7"/>
    <w:multiLevelType w:val="hybridMultilevel"/>
    <w:tmpl w:val="0BAE885E"/>
    <w:lvl w:ilvl="0" w:tplc="0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BE2161"/>
    <w:multiLevelType w:val="hybridMultilevel"/>
    <w:tmpl w:val="11DEBD28"/>
    <w:lvl w:ilvl="0" w:tplc="38429FE0">
      <w:start w:val="1"/>
      <w:numFmt w:val="lowerLetter"/>
      <w:lvlText w:val="%1."/>
      <w:lvlJc w:val="left"/>
      <w:pPr>
        <w:ind w:left="1080" w:hanging="360"/>
      </w:pPr>
      <w:rPr>
        <w:rFonts w:ascii="Arial" w:hAnsi="Arial" w:cs="Arial" w:hint="default"/>
        <w:b w:val="0"/>
        <w:bCs w:val="0"/>
        <w:i w:val="0"/>
        <w:iCs w:val="0"/>
        <w:caps w:val="0"/>
        <w:strike w:val="0"/>
        <w:dstrike w:val="0"/>
        <w:vanish w:val="0"/>
        <w:spacing w:val="-33"/>
        <w:w w:val="99"/>
        <w:sz w:val="22"/>
        <w:szCs w:val="22"/>
        <w:vertAlign w:val="baseline"/>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270D472F"/>
    <w:multiLevelType w:val="hybridMultilevel"/>
    <w:tmpl w:val="404CF0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E4A0F24"/>
    <w:multiLevelType w:val="hybridMultilevel"/>
    <w:tmpl w:val="0C9C1D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4235B38"/>
    <w:multiLevelType w:val="hybridMultilevel"/>
    <w:tmpl w:val="F93615B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87B2D"/>
    <w:multiLevelType w:val="multilevel"/>
    <w:tmpl w:val="22BA92A0"/>
    <w:lvl w:ilvl="0">
      <w:start w:val="1"/>
      <w:numFmt w:val="decimal"/>
      <w:lvlText w:val="%1."/>
      <w:lvlJc w:val="left"/>
      <w:pPr>
        <w:ind w:left="720" w:hanging="360"/>
      </w:pPr>
      <w:rPr>
        <w:b/>
        <w:i w:val="0"/>
        <w:color w:val="auto"/>
      </w:rPr>
    </w:lvl>
    <w:lvl w:ilvl="1">
      <w:start w:val="5"/>
      <w:numFmt w:val="decimal"/>
      <w:isLgl/>
      <w:lvlText w:val="%1.%2"/>
      <w:lvlJc w:val="left"/>
      <w:pPr>
        <w:ind w:left="931" w:hanging="360"/>
      </w:pPr>
      <w:rPr>
        <w:rFonts w:hint="default"/>
      </w:rPr>
    </w:lvl>
    <w:lvl w:ilvl="2">
      <w:start w:val="1"/>
      <w:numFmt w:val="decimal"/>
      <w:isLgl/>
      <w:lvlText w:val="%1.%2.%3"/>
      <w:lvlJc w:val="left"/>
      <w:pPr>
        <w:ind w:left="150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1924" w:hanging="72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706" w:hanging="1080"/>
      </w:pPr>
      <w:rPr>
        <w:rFonts w:hint="default"/>
      </w:rPr>
    </w:lvl>
    <w:lvl w:ilvl="7">
      <w:start w:val="1"/>
      <w:numFmt w:val="decimal"/>
      <w:isLgl/>
      <w:lvlText w:val="%1.%2.%3.%4.%5.%6.%7.%8"/>
      <w:lvlJc w:val="left"/>
      <w:pPr>
        <w:ind w:left="3277" w:hanging="1440"/>
      </w:pPr>
      <w:rPr>
        <w:rFonts w:hint="default"/>
      </w:rPr>
    </w:lvl>
    <w:lvl w:ilvl="8">
      <w:start w:val="1"/>
      <w:numFmt w:val="decimal"/>
      <w:isLgl/>
      <w:lvlText w:val="%1.%2.%3.%4.%5.%6.%7.%8.%9"/>
      <w:lvlJc w:val="left"/>
      <w:pPr>
        <w:ind w:left="3488" w:hanging="1440"/>
      </w:pPr>
      <w:rPr>
        <w:rFonts w:hint="default"/>
      </w:rPr>
    </w:lvl>
  </w:abstractNum>
  <w:abstractNum w:abstractNumId="11" w15:restartNumberingAfterBreak="0">
    <w:nsid w:val="385E2616"/>
    <w:multiLevelType w:val="multilevel"/>
    <w:tmpl w:val="B418A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9450EF"/>
    <w:multiLevelType w:val="hybridMultilevel"/>
    <w:tmpl w:val="32A2C4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0A776E6"/>
    <w:multiLevelType w:val="hybridMultilevel"/>
    <w:tmpl w:val="0292E872"/>
    <w:lvl w:ilvl="0" w:tplc="240A0001">
      <w:start w:val="1"/>
      <w:numFmt w:val="bullet"/>
      <w:lvlText w:val=""/>
      <w:lvlJc w:val="left"/>
      <w:pPr>
        <w:ind w:left="1077" w:hanging="360"/>
      </w:pPr>
      <w:rPr>
        <w:rFonts w:ascii="Symbol" w:hAnsi="Symbol" w:hint="default"/>
      </w:rPr>
    </w:lvl>
    <w:lvl w:ilvl="1" w:tplc="240A0003" w:tentative="1">
      <w:start w:val="1"/>
      <w:numFmt w:val="bullet"/>
      <w:lvlText w:val="o"/>
      <w:lvlJc w:val="left"/>
      <w:pPr>
        <w:ind w:left="1797" w:hanging="360"/>
      </w:pPr>
      <w:rPr>
        <w:rFonts w:ascii="Courier New" w:hAnsi="Courier New" w:cs="Courier New" w:hint="default"/>
      </w:rPr>
    </w:lvl>
    <w:lvl w:ilvl="2" w:tplc="240A0005" w:tentative="1">
      <w:start w:val="1"/>
      <w:numFmt w:val="bullet"/>
      <w:lvlText w:val=""/>
      <w:lvlJc w:val="left"/>
      <w:pPr>
        <w:ind w:left="2517" w:hanging="360"/>
      </w:pPr>
      <w:rPr>
        <w:rFonts w:ascii="Wingdings" w:hAnsi="Wingdings" w:hint="default"/>
      </w:rPr>
    </w:lvl>
    <w:lvl w:ilvl="3" w:tplc="240A0001" w:tentative="1">
      <w:start w:val="1"/>
      <w:numFmt w:val="bullet"/>
      <w:lvlText w:val=""/>
      <w:lvlJc w:val="left"/>
      <w:pPr>
        <w:ind w:left="3237" w:hanging="360"/>
      </w:pPr>
      <w:rPr>
        <w:rFonts w:ascii="Symbol" w:hAnsi="Symbol" w:hint="default"/>
      </w:rPr>
    </w:lvl>
    <w:lvl w:ilvl="4" w:tplc="240A0003" w:tentative="1">
      <w:start w:val="1"/>
      <w:numFmt w:val="bullet"/>
      <w:lvlText w:val="o"/>
      <w:lvlJc w:val="left"/>
      <w:pPr>
        <w:ind w:left="3957" w:hanging="360"/>
      </w:pPr>
      <w:rPr>
        <w:rFonts w:ascii="Courier New" w:hAnsi="Courier New" w:cs="Courier New" w:hint="default"/>
      </w:rPr>
    </w:lvl>
    <w:lvl w:ilvl="5" w:tplc="240A0005" w:tentative="1">
      <w:start w:val="1"/>
      <w:numFmt w:val="bullet"/>
      <w:lvlText w:val=""/>
      <w:lvlJc w:val="left"/>
      <w:pPr>
        <w:ind w:left="4677" w:hanging="360"/>
      </w:pPr>
      <w:rPr>
        <w:rFonts w:ascii="Wingdings" w:hAnsi="Wingdings" w:hint="default"/>
      </w:rPr>
    </w:lvl>
    <w:lvl w:ilvl="6" w:tplc="240A0001" w:tentative="1">
      <w:start w:val="1"/>
      <w:numFmt w:val="bullet"/>
      <w:lvlText w:val=""/>
      <w:lvlJc w:val="left"/>
      <w:pPr>
        <w:ind w:left="5397" w:hanging="360"/>
      </w:pPr>
      <w:rPr>
        <w:rFonts w:ascii="Symbol" w:hAnsi="Symbol" w:hint="default"/>
      </w:rPr>
    </w:lvl>
    <w:lvl w:ilvl="7" w:tplc="240A0003" w:tentative="1">
      <w:start w:val="1"/>
      <w:numFmt w:val="bullet"/>
      <w:lvlText w:val="o"/>
      <w:lvlJc w:val="left"/>
      <w:pPr>
        <w:ind w:left="6117" w:hanging="360"/>
      </w:pPr>
      <w:rPr>
        <w:rFonts w:ascii="Courier New" w:hAnsi="Courier New" w:cs="Courier New" w:hint="default"/>
      </w:rPr>
    </w:lvl>
    <w:lvl w:ilvl="8" w:tplc="240A0005" w:tentative="1">
      <w:start w:val="1"/>
      <w:numFmt w:val="bullet"/>
      <w:lvlText w:val=""/>
      <w:lvlJc w:val="left"/>
      <w:pPr>
        <w:ind w:left="6837" w:hanging="360"/>
      </w:pPr>
      <w:rPr>
        <w:rFonts w:ascii="Wingdings" w:hAnsi="Wingdings" w:hint="default"/>
      </w:rPr>
    </w:lvl>
  </w:abstractNum>
  <w:abstractNum w:abstractNumId="14" w15:restartNumberingAfterBreak="0">
    <w:nsid w:val="4DD6499E"/>
    <w:multiLevelType w:val="hybridMultilevel"/>
    <w:tmpl w:val="82D0C5BE"/>
    <w:lvl w:ilvl="0" w:tplc="3BB880B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4EC770F6"/>
    <w:multiLevelType w:val="hybridMultilevel"/>
    <w:tmpl w:val="D86431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2473BCA"/>
    <w:multiLevelType w:val="multilevel"/>
    <w:tmpl w:val="D3EC9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912F67"/>
    <w:multiLevelType w:val="hybridMultilevel"/>
    <w:tmpl w:val="29169596"/>
    <w:lvl w:ilvl="0" w:tplc="9EEC4A2E">
      <w:start w:val="2"/>
      <w:numFmt w:val="bullet"/>
      <w:lvlText w:val="-"/>
      <w:lvlJc w:val="left"/>
      <w:pPr>
        <w:ind w:left="1080" w:hanging="360"/>
      </w:pPr>
      <w:rPr>
        <w:rFonts w:ascii="Arial Narrow" w:eastAsia="Calibri" w:hAnsi="Arial Narrow" w:cs="Times New Roman"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8" w15:restartNumberingAfterBreak="0">
    <w:nsid w:val="586C6BBB"/>
    <w:multiLevelType w:val="hybridMultilevel"/>
    <w:tmpl w:val="C784B79A"/>
    <w:lvl w:ilvl="0" w:tplc="C6541B96">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63CE27E7"/>
    <w:multiLevelType w:val="hybridMultilevel"/>
    <w:tmpl w:val="F482EA5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65F76FF3"/>
    <w:multiLevelType w:val="multilevel"/>
    <w:tmpl w:val="83061F3E"/>
    <w:lvl w:ilvl="0">
      <w:start w:val="3"/>
      <w:numFmt w:val="decimal"/>
      <w:lvlText w:val="%1"/>
      <w:lvlJc w:val="left"/>
      <w:pPr>
        <w:ind w:left="360" w:hanging="360"/>
      </w:pPr>
      <w:rPr>
        <w:rFonts w:hint="default"/>
        <w:b/>
        <w:i w:val="0"/>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B044D95"/>
    <w:multiLevelType w:val="hybridMultilevel"/>
    <w:tmpl w:val="FDF40408"/>
    <w:lvl w:ilvl="0" w:tplc="080A0001">
      <w:start w:val="1"/>
      <w:numFmt w:val="bullet"/>
      <w:lvlText w:val=""/>
      <w:lvlJc w:val="left"/>
      <w:pPr>
        <w:ind w:left="720" w:hanging="360"/>
      </w:pPr>
      <w:rPr>
        <w:rFonts w:ascii="Symbol" w:hAnsi="Symbol" w:hint="default"/>
      </w:rPr>
    </w:lvl>
    <w:lvl w:ilvl="1" w:tplc="0B02A38C">
      <w:numFmt w:val="bullet"/>
      <w:lvlText w:val="-"/>
      <w:lvlJc w:val="left"/>
      <w:pPr>
        <w:ind w:left="1780" w:hanging="700"/>
      </w:pPr>
      <w:rPr>
        <w:rFonts w:ascii="Arial Narrow" w:eastAsia="Times New Roman" w:hAnsi="Arial Narrow"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0F422E4"/>
    <w:multiLevelType w:val="hybridMultilevel"/>
    <w:tmpl w:val="47A05744"/>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0"/>
  </w:num>
  <w:num w:numId="2">
    <w:abstractNumId w:val="20"/>
  </w:num>
  <w:num w:numId="3">
    <w:abstractNumId w:val="5"/>
  </w:num>
  <w:num w:numId="4">
    <w:abstractNumId w:val="21"/>
  </w:num>
  <w:num w:numId="5">
    <w:abstractNumId w:val="1"/>
  </w:num>
  <w:num w:numId="6">
    <w:abstractNumId w:val="12"/>
  </w:num>
  <w:num w:numId="7">
    <w:abstractNumId w:val="6"/>
  </w:num>
  <w:num w:numId="8">
    <w:abstractNumId w:val="0"/>
  </w:num>
  <w:num w:numId="9">
    <w:abstractNumId w:val="18"/>
  </w:num>
  <w:num w:numId="10">
    <w:abstractNumId w:val="22"/>
  </w:num>
  <w:num w:numId="11">
    <w:abstractNumId w:val="14"/>
  </w:num>
  <w:num w:numId="12">
    <w:abstractNumId w:val="3"/>
  </w:num>
  <w:num w:numId="13">
    <w:abstractNumId w:val="2"/>
  </w:num>
  <w:num w:numId="14">
    <w:abstractNumId w:val="17"/>
  </w:num>
  <w:num w:numId="15">
    <w:abstractNumId w:val="19"/>
  </w:num>
  <w:num w:numId="16">
    <w:abstractNumId w:val="9"/>
  </w:num>
  <w:num w:numId="17">
    <w:abstractNumId w:val="16"/>
  </w:num>
  <w:num w:numId="18">
    <w:abstractNumId w:val="4"/>
  </w:num>
  <w:num w:numId="19">
    <w:abstractNumId w:val="11"/>
  </w:num>
  <w:num w:numId="20">
    <w:abstractNumId w:val="15"/>
  </w:num>
  <w:num w:numId="21">
    <w:abstractNumId w:val="13"/>
  </w:num>
  <w:num w:numId="22">
    <w:abstractNumId w:val="8"/>
  </w:num>
  <w:num w:numId="2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310A"/>
    <w:rsid w:val="00003380"/>
    <w:rsid w:val="00003D24"/>
    <w:rsid w:val="00006F83"/>
    <w:rsid w:val="00007F07"/>
    <w:rsid w:val="00010DB2"/>
    <w:rsid w:val="00013C42"/>
    <w:rsid w:val="00014D67"/>
    <w:rsid w:val="00016A94"/>
    <w:rsid w:val="00017FA6"/>
    <w:rsid w:val="00021FCC"/>
    <w:rsid w:val="00024F34"/>
    <w:rsid w:val="0002546A"/>
    <w:rsid w:val="00026899"/>
    <w:rsid w:val="00027926"/>
    <w:rsid w:val="00032CBF"/>
    <w:rsid w:val="000349E3"/>
    <w:rsid w:val="00040B1C"/>
    <w:rsid w:val="0004205E"/>
    <w:rsid w:val="0004226B"/>
    <w:rsid w:val="000435AC"/>
    <w:rsid w:val="0004371D"/>
    <w:rsid w:val="00044BF5"/>
    <w:rsid w:val="000458F4"/>
    <w:rsid w:val="00047055"/>
    <w:rsid w:val="00047A6E"/>
    <w:rsid w:val="00050524"/>
    <w:rsid w:val="00050A0E"/>
    <w:rsid w:val="000514FD"/>
    <w:rsid w:val="00066463"/>
    <w:rsid w:val="00066BEB"/>
    <w:rsid w:val="0007635E"/>
    <w:rsid w:val="0007636F"/>
    <w:rsid w:val="00081CEE"/>
    <w:rsid w:val="00082817"/>
    <w:rsid w:val="00084B49"/>
    <w:rsid w:val="0008662A"/>
    <w:rsid w:val="00086B16"/>
    <w:rsid w:val="00087221"/>
    <w:rsid w:val="00087837"/>
    <w:rsid w:val="00092C0A"/>
    <w:rsid w:val="00092CA9"/>
    <w:rsid w:val="00094D9F"/>
    <w:rsid w:val="000A35DA"/>
    <w:rsid w:val="000A3E34"/>
    <w:rsid w:val="000A41C2"/>
    <w:rsid w:val="000A4620"/>
    <w:rsid w:val="000A4E72"/>
    <w:rsid w:val="000B30A6"/>
    <w:rsid w:val="000B39C5"/>
    <w:rsid w:val="000B50F1"/>
    <w:rsid w:val="000C1F3C"/>
    <w:rsid w:val="000C2CAB"/>
    <w:rsid w:val="000C41BE"/>
    <w:rsid w:val="000C5FB2"/>
    <w:rsid w:val="000C614C"/>
    <w:rsid w:val="000C6C28"/>
    <w:rsid w:val="000C6C52"/>
    <w:rsid w:val="000D1904"/>
    <w:rsid w:val="000D2DA8"/>
    <w:rsid w:val="000D512E"/>
    <w:rsid w:val="000D6224"/>
    <w:rsid w:val="000E0081"/>
    <w:rsid w:val="000E0152"/>
    <w:rsid w:val="000E370D"/>
    <w:rsid w:val="000E65A4"/>
    <w:rsid w:val="001004F6"/>
    <w:rsid w:val="00100518"/>
    <w:rsid w:val="00105533"/>
    <w:rsid w:val="001072FB"/>
    <w:rsid w:val="00114D58"/>
    <w:rsid w:val="00116659"/>
    <w:rsid w:val="001175AA"/>
    <w:rsid w:val="00123C56"/>
    <w:rsid w:val="00125A3A"/>
    <w:rsid w:val="0012677E"/>
    <w:rsid w:val="00126916"/>
    <w:rsid w:val="00126980"/>
    <w:rsid w:val="001303DD"/>
    <w:rsid w:val="0013192F"/>
    <w:rsid w:val="001341D0"/>
    <w:rsid w:val="001348DA"/>
    <w:rsid w:val="001365B5"/>
    <w:rsid w:val="00136A44"/>
    <w:rsid w:val="00136CD0"/>
    <w:rsid w:val="00137221"/>
    <w:rsid w:val="0013737F"/>
    <w:rsid w:val="001417D4"/>
    <w:rsid w:val="00142BF2"/>
    <w:rsid w:val="00142E75"/>
    <w:rsid w:val="00143646"/>
    <w:rsid w:val="001447C1"/>
    <w:rsid w:val="00145BCA"/>
    <w:rsid w:val="00145E2C"/>
    <w:rsid w:val="001464D5"/>
    <w:rsid w:val="001468FE"/>
    <w:rsid w:val="0015216F"/>
    <w:rsid w:val="00153523"/>
    <w:rsid w:val="00155EC3"/>
    <w:rsid w:val="00157729"/>
    <w:rsid w:val="001627C3"/>
    <w:rsid w:val="00164587"/>
    <w:rsid w:val="001665A3"/>
    <w:rsid w:val="00167380"/>
    <w:rsid w:val="00171B31"/>
    <w:rsid w:val="00172D6C"/>
    <w:rsid w:val="001743EF"/>
    <w:rsid w:val="00174A31"/>
    <w:rsid w:val="00177232"/>
    <w:rsid w:val="00187186"/>
    <w:rsid w:val="00191FA5"/>
    <w:rsid w:val="00191FD1"/>
    <w:rsid w:val="00196D83"/>
    <w:rsid w:val="00197826"/>
    <w:rsid w:val="001978EB"/>
    <w:rsid w:val="001A1E25"/>
    <w:rsid w:val="001A2AF1"/>
    <w:rsid w:val="001A45FC"/>
    <w:rsid w:val="001A7D55"/>
    <w:rsid w:val="001B18BA"/>
    <w:rsid w:val="001C013E"/>
    <w:rsid w:val="001C7557"/>
    <w:rsid w:val="001D1743"/>
    <w:rsid w:val="001D17CF"/>
    <w:rsid w:val="001D6152"/>
    <w:rsid w:val="001D7A84"/>
    <w:rsid w:val="001E1C2D"/>
    <w:rsid w:val="001E2543"/>
    <w:rsid w:val="001E6C60"/>
    <w:rsid w:val="001F00C1"/>
    <w:rsid w:val="001F033F"/>
    <w:rsid w:val="001F238A"/>
    <w:rsid w:val="001F4FA3"/>
    <w:rsid w:val="002048A2"/>
    <w:rsid w:val="00206358"/>
    <w:rsid w:val="00207D27"/>
    <w:rsid w:val="00210B2F"/>
    <w:rsid w:val="00213108"/>
    <w:rsid w:val="002171A2"/>
    <w:rsid w:val="00220C29"/>
    <w:rsid w:val="002217D1"/>
    <w:rsid w:val="00225B45"/>
    <w:rsid w:val="002264B8"/>
    <w:rsid w:val="00226875"/>
    <w:rsid w:val="00226C82"/>
    <w:rsid w:val="00230CFE"/>
    <w:rsid w:val="0023452A"/>
    <w:rsid w:val="00235361"/>
    <w:rsid w:val="00236F62"/>
    <w:rsid w:val="00237D76"/>
    <w:rsid w:val="00241403"/>
    <w:rsid w:val="00243F0F"/>
    <w:rsid w:val="002450EA"/>
    <w:rsid w:val="00246DC7"/>
    <w:rsid w:val="00251FCE"/>
    <w:rsid w:val="00252F13"/>
    <w:rsid w:val="00254313"/>
    <w:rsid w:val="00257C79"/>
    <w:rsid w:val="00261834"/>
    <w:rsid w:val="00262599"/>
    <w:rsid w:val="002633EA"/>
    <w:rsid w:val="00264F85"/>
    <w:rsid w:val="0026513E"/>
    <w:rsid w:val="00267052"/>
    <w:rsid w:val="0027134A"/>
    <w:rsid w:val="002729A5"/>
    <w:rsid w:val="0027330E"/>
    <w:rsid w:val="0027497D"/>
    <w:rsid w:val="002839BE"/>
    <w:rsid w:val="002862C1"/>
    <w:rsid w:val="00286449"/>
    <w:rsid w:val="00287EC3"/>
    <w:rsid w:val="00293F29"/>
    <w:rsid w:val="002941D1"/>
    <w:rsid w:val="0029773D"/>
    <w:rsid w:val="0029790A"/>
    <w:rsid w:val="002A2A12"/>
    <w:rsid w:val="002A44B8"/>
    <w:rsid w:val="002A50DC"/>
    <w:rsid w:val="002A61E9"/>
    <w:rsid w:val="002B09DB"/>
    <w:rsid w:val="002B52B5"/>
    <w:rsid w:val="002C05D0"/>
    <w:rsid w:val="002C086A"/>
    <w:rsid w:val="002C0C9E"/>
    <w:rsid w:val="002C6429"/>
    <w:rsid w:val="002D096D"/>
    <w:rsid w:val="002D11FE"/>
    <w:rsid w:val="002D2CB2"/>
    <w:rsid w:val="002D35EC"/>
    <w:rsid w:val="002D3FE3"/>
    <w:rsid w:val="002D5E8B"/>
    <w:rsid w:val="002E4928"/>
    <w:rsid w:val="002E4A97"/>
    <w:rsid w:val="002E71C4"/>
    <w:rsid w:val="002F1684"/>
    <w:rsid w:val="002F226A"/>
    <w:rsid w:val="00301DC2"/>
    <w:rsid w:val="003050CA"/>
    <w:rsid w:val="003062F5"/>
    <w:rsid w:val="00306806"/>
    <w:rsid w:val="00313FE3"/>
    <w:rsid w:val="00315B87"/>
    <w:rsid w:val="003227FD"/>
    <w:rsid w:val="003244B4"/>
    <w:rsid w:val="00325A55"/>
    <w:rsid w:val="003343DB"/>
    <w:rsid w:val="0033594D"/>
    <w:rsid w:val="00336089"/>
    <w:rsid w:val="00336655"/>
    <w:rsid w:val="00336ABB"/>
    <w:rsid w:val="0034195E"/>
    <w:rsid w:val="003427E5"/>
    <w:rsid w:val="00342B3C"/>
    <w:rsid w:val="00343104"/>
    <w:rsid w:val="00346554"/>
    <w:rsid w:val="003503EB"/>
    <w:rsid w:val="00350767"/>
    <w:rsid w:val="00350E4B"/>
    <w:rsid w:val="003520A1"/>
    <w:rsid w:val="003532F8"/>
    <w:rsid w:val="003533A1"/>
    <w:rsid w:val="00353ADA"/>
    <w:rsid w:val="0035404F"/>
    <w:rsid w:val="00355CA9"/>
    <w:rsid w:val="0036334F"/>
    <w:rsid w:val="003651DE"/>
    <w:rsid w:val="00366754"/>
    <w:rsid w:val="00367CB8"/>
    <w:rsid w:val="00370C5C"/>
    <w:rsid w:val="003711C0"/>
    <w:rsid w:val="00373040"/>
    <w:rsid w:val="00373197"/>
    <w:rsid w:val="00373CC1"/>
    <w:rsid w:val="00380A4B"/>
    <w:rsid w:val="0038390A"/>
    <w:rsid w:val="003903E6"/>
    <w:rsid w:val="00397120"/>
    <w:rsid w:val="003972F5"/>
    <w:rsid w:val="003A0BBF"/>
    <w:rsid w:val="003A3C08"/>
    <w:rsid w:val="003A5197"/>
    <w:rsid w:val="003A6449"/>
    <w:rsid w:val="003A73D2"/>
    <w:rsid w:val="003B3F46"/>
    <w:rsid w:val="003B4DDE"/>
    <w:rsid w:val="003B53F4"/>
    <w:rsid w:val="003B625C"/>
    <w:rsid w:val="003C0C28"/>
    <w:rsid w:val="003C0F32"/>
    <w:rsid w:val="003C4567"/>
    <w:rsid w:val="003C6CAC"/>
    <w:rsid w:val="003D3516"/>
    <w:rsid w:val="003D50F4"/>
    <w:rsid w:val="003D65FA"/>
    <w:rsid w:val="003E1394"/>
    <w:rsid w:val="003E1DCD"/>
    <w:rsid w:val="003E49D2"/>
    <w:rsid w:val="003E582F"/>
    <w:rsid w:val="003E5A84"/>
    <w:rsid w:val="003E5E89"/>
    <w:rsid w:val="003E73AA"/>
    <w:rsid w:val="003F7461"/>
    <w:rsid w:val="00401B59"/>
    <w:rsid w:val="004031CC"/>
    <w:rsid w:val="00405CE5"/>
    <w:rsid w:val="0041065B"/>
    <w:rsid w:val="0041114C"/>
    <w:rsid w:val="00414752"/>
    <w:rsid w:val="0041604F"/>
    <w:rsid w:val="00417FC8"/>
    <w:rsid w:val="00421F3A"/>
    <w:rsid w:val="0042495F"/>
    <w:rsid w:val="00424EB7"/>
    <w:rsid w:val="00427DBC"/>
    <w:rsid w:val="00427DD9"/>
    <w:rsid w:val="00430485"/>
    <w:rsid w:val="004317DB"/>
    <w:rsid w:val="00431BB6"/>
    <w:rsid w:val="00432C5C"/>
    <w:rsid w:val="00437C19"/>
    <w:rsid w:val="00447654"/>
    <w:rsid w:val="0045067C"/>
    <w:rsid w:val="00451D2A"/>
    <w:rsid w:val="0046042C"/>
    <w:rsid w:val="004609C0"/>
    <w:rsid w:val="00461D1F"/>
    <w:rsid w:val="00462E1E"/>
    <w:rsid w:val="00465AD7"/>
    <w:rsid w:val="00470148"/>
    <w:rsid w:val="00470526"/>
    <w:rsid w:val="0047171C"/>
    <w:rsid w:val="004739E7"/>
    <w:rsid w:val="00480AB2"/>
    <w:rsid w:val="00481711"/>
    <w:rsid w:val="004828F4"/>
    <w:rsid w:val="004848A4"/>
    <w:rsid w:val="00485228"/>
    <w:rsid w:val="00486CD4"/>
    <w:rsid w:val="004904CA"/>
    <w:rsid w:val="00493904"/>
    <w:rsid w:val="00496BDC"/>
    <w:rsid w:val="004A0755"/>
    <w:rsid w:val="004A6BE3"/>
    <w:rsid w:val="004A7CF5"/>
    <w:rsid w:val="004B078F"/>
    <w:rsid w:val="004B354B"/>
    <w:rsid w:val="004B4185"/>
    <w:rsid w:val="004B695A"/>
    <w:rsid w:val="004C361E"/>
    <w:rsid w:val="004C4371"/>
    <w:rsid w:val="004C5E76"/>
    <w:rsid w:val="004C5F56"/>
    <w:rsid w:val="004C7D38"/>
    <w:rsid w:val="004D0D86"/>
    <w:rsid w:val="004D10C6"/>
    <w:rsid w:val="004D16E9"/>
    <w:rsid w:val="004D2643"/>
    <w:rsid w:val="004D2923"/>
    <w:rsid w:val="004D294E"/>
    <w:rsid w:val="004D3CB5"/>
    <w:rsid w:val="004D3D03"/>
    <w:rsid w:val="004D4586"/>
    <w:rsid w:val="004D6329"/>
    <w:rsid w:val="004D6ED2"/>
    <w:rsid w:val="004D74F2"/>
    <w:rsid w:val="004E034B"/>
    <w:rsid w:val="004E03EB"/>
    <w:rsid w:val="004E17FC"/>
    <w:rsid w:val="004E274E"/>
    <w:rsid w:val="004E3ECB"/>
    <w:rsid w:val="004E517F"/>
    <w:rsid w:val="004F778E"/>
    <w:rsid w:val="004F7A38"/>
    <w:rsid w:val="0050148F"/>
    <w:rsid w:val="00502F91"/>
    <w:rsid w:val="005058C3"/>
    <w:rsid w:val="005139DE"/>
    <w:rsid w:val="00520AAA"/>
    <w:rsid w:val="00520B2A"/>
    <w:rsid w:val="005338E4"/>
    <w:rsid w:val="0054165C"/>
    <w:rsid w:val="0054286C"/>
    <w:rsid w:val="00543E5A"/>
    <w:rsid w:val="00545092"/>
    <w:rsid w:val="00545A32"/>
    <w:rsid w:val="0054600C"/>
    <w:rsid w:val="0054645F"/>
    <w:rsid w:val="00560C3A"/>
    <w:rsid w:val="005616ED"/>
    <w:rsid w:val="00562589"/>
    <w:rsid w:val="005629D0"/>
    <w:rsid w:val="00564A4E"/>
    <w:rsid w:val="00566E16"/>
    <w:rsid w:val="0057696F"/>
    <w:rsid w:val="005815B6"/>
    <w:rsid w:val="00583179"/>
    <w:rsid w:val="00584E85"/>
    <w:rsid w:val="005868FC"/>
    <w:rsid w:val="005871DA"/>
    <w:rsid w:val="00587695"/>
    <w:rsid w:val="0059054D"/>
    <w:rsid w:val="0059316B"/>
    <w:rsid w:val="005939C4"/>
    <w:rsid w:val="005949A8"/>
    <w:rsid w:val="00594F88"/>
    <w:rsid w:val="005A077D"/>
    <w:rsid w:val="005A4320"/>
    <w:rsid w:val="005A498D"/>
    <w:rsid w:val="005A4F38"/>
    <w:rsid w:val="005A62F8"/>
    <w:rsid w:val="005B6631"/>
    <w:rsid w:val="005B66CA"/>
    <w:rsid w:val="005C19CA"/>
    <w:rsid w:val="005C3353"/>
    <w:rsid w:val="005C4522"/>
    <w:rsid w:val="005C625D"/>
    <w:rsid w:val="005C75D2"/>
    <w:rsid w:val="005C77BE"/>
    <w:rsid w:val="005D0D79"/>
    <w:rsid w:val="005D203A"/>
    <w:rsid w:val="005D3891"/>
    <w:rsid w:val="005D49BF"/>
    <w:rsid w:val="005D7429"/>
    <w:rsid w:val="005F2126"/>
    <w:rsid w:val="005F30C3"/>
    <w:rsid w:val="005F628A"/>
    <w:rsid w:val="005F7863"/>
    <w:rsid w:val="0060097F"/>
    <w:rsid w:val="0060353B"/>
    <w:rsid w:val="00606A85"/>
    <w:rsid w:val="00611311"/>
    <w:rsid w:val="00612C2B"/>
    <w:rsid w:val="00615C1C"/>
    <w:rsid w:val="00620876"/>
    <w:rsid w:val="00624FD0"/>
    <w:rsid w:val="006273AB"/>
    <w:rsid w:val="00630C5E"/>
    <w:rsid w:val="00630E56"/>
    <w:rsid w:val="006315B4"/>
    <w:rsid w:val="0063446A"/>
    <w:rsid w:val="00635351"/>
    <w:rsid w:val="00635AC3"/>
    <w:rsid w:val="00636FFB"/>
    <w:rsid w:val="00644656"/>
    <w:rsid w:val="00647FAB"/>
    <w:rsid w:val="0065144E"/>
    <w:rsid w:val="00651B0A"/>
    <w:rsid w:val="00654CCF"/>
    <w:rsid w:val="006652E6"/>
    <w:rsid w:val="00665F82"/>
    <w:rsid w:val="00666C89"/>
    <w:rsid w:val="0067186C"/>
    <w:rsid w:val="00671E11"/>
    <w:rsid w:val="006779DA"/>
    <w:rsid w:val="0068018A"/>
    <w:rsid w:val="006840AF"/>
    <w:rsid w:val="00687EB3"/>
    <w:rsid w:val="00692980"/>
    <w:rsid w:val="00693246"/>
    <w:rsid w:val="0069506F"/>
    <w:rsid w:val="0069597B"/>
    <w:rsid w:val="00696582"/>
    <w:rsid w:val="006965EE"/>
    <w:rsid w:val="006A0E9A"/>
    <w:rsid w:val="006A1DBB"/>
    <w:rsid w:val="006A5333"/>
    <w:rsid w:val="006A5507"/>
    <w:rsid w:val="006B4E40"/>
    <w:rsid w:val="006B4FF0"/>
    <w:rsid w:val="006C0DF1"/>
    <w:rsid w:val="006C103A"/>
    <w:rsid w:val="006C4148"/>
    <w:rsid w:val="006C4E6A"/>
    <w:rsid w:val="006C50E8"/>
    <w:rsid w:val="006C5EDB"/>
    <w:rsid w:val="006D126C"/>
    <w:rsid w:val="006D24E0"/>
    <w:rsid w:val="006D464D"/>
    <w:rsid w:val="006D5B7C"/>
    <w:rsid w:val="006E6F11"/>
    <w:rsid w:val="006F0B6B"/>
    <w:rsid w:val="006F144D"/>
    <w:rsid w:val="006F461B"/>
    <w:rsid w:val="006F5851"/>
    <w:rsid w:val="006F622C"/>
    <w:rsid w:val="00700FF6"/>
    <w:rsid w:val="00704D44"/>
    <w:rsid w:val="0071595E"/>
    <w:rsid w:val="00715A68"/>
    <w:rsid w:val="00715DD5"/>
    <w:rsid w:val="00715ECF"/>
    <w:rsid w:val="00717A04"/>
    <w:rsid w:val="00717BFE"/>
    <w:rsid w:val="007208C5"/>
    <w:rsid w:val="0072491E"/>
    <w:rsid w:val="00725BB4"/>
    <w:rsid w:val="0073180A"/>
    <w:rsid w:val="00731B34"/>
    <w:rsid w:val="00732997"/>
    <w:rsid w:val="007336C3"/>
    <w:rsid w:val="00735033"/>
    <w:rsid w:val="0074642B"/>
    <w:rsid w:val="0075051C"/>
    <w:rsid w:val="00751C64"/>
    <w:rsid w:val="007537DF"/>
    <w:rsid w:val="0075448A"/>
    <w:rsid w:val="00756485"/>
    <w:rsid w:val="0075705D"/>
    <w:rsid w:val="00761BCC"/>
    <w:rsid w:val="007626E1"/>
    <w:rsid w:val="00763C02"/>
    <w:rsid w:val="00765853"/>
    <w:rsid w:val="00767F65"/>
    <w:rsid w:val="00770C31"/>
    <w:rsid w:val="00770D6C"/>
    <w:rsid w:val="0077257F"/>
    <w:rsid w:val="0077593E"/>
    <w:rsid w:val="007805EA"/>
    <w:rsid w:val="00783515"/>
    <w:rsid w:val="00784DDE"/>
    <w:rsid w:val="00785607"/>
    <w:rsid w:val="00787C94"/>
    <w:rsid w:val="0079063B"/>
    <w:rsid w:val="00791BCB"/>
    <w:rsid w:val="007921BD"/>
    <w:rsid w:val="00793A02"/>
    <w:rsid w:val="00794C8B"/>
    <w:rsid w:val="00795C6B"/>
    <w:rsid w:val="00795EEA"/>
    <w:rsid w:val="007A1566"/>
    <w:rsid w:val="007A200E"/>
    <w:rsid w:val="007A37BF"/>
    <w:rsid w:val="007A3995"/>
    <w:rsid w:val="007A5AC5"/>
    <w:rsid w:val="007B03CF"/>
    <w:rsid w:val="007B35B2"/>
    <w:rsid w:val="007B4B82"/>
    <w:rsid w:val="007B4E34"/>
    <w:rsid w:val="007B622D"/>
    <w:rsid w:val="007B647A"/>
    <w:rsid w:val="007C3E5D"/>
    <w:rsid w:val="007C4288"/>
    <w:rsid w:val="007C484E"/>
    <w:rsid w:val="007C6FA7"/>
    <w:rsid w:val="007D4853"/>
    <w:rsid w:val="007D57C4"/>
    <w:rsid w:val="007D60BB"/>
    <w:rsid w:val="007E0429"/>
    <w:rsid w:val="007E41DE"/>
    <w:rsid w:val="007E4CE3"/>
    <w:rsid w:val="007E6EE1"/>
    <w:rsid w:val="007F133B"/>
    <w:rsid w:val="007F2B1F"/>
    <w:rsid w:val="007F3295"/>
    <w:rsid w:val="007F3C26"/>
    <w:rsid w:val="00800467"/>
    <w:rsid w:val="0080263E"/>
    <w:rsid w:val="00802F7A"/>
    <w:rsid w:val="00806038"/>
    <w:rsid w:val="00806A1C"/>
    <w:rsid w:val="0080773A"/>
    <w:rsid w:val="00807F8E"/>
    <w:rsid w:val="00811491"/>
    <w:rsid w:val="0081402B"/>
    <w:rsid w:val="00815D68"/>
    <w:rsid w:val="008173F3"/>
    <w:rsid w:val="00820A5B"/>
    <w:rsid w:val="0082117C"/>
    <w:rsid w:val="0082258C"/>
    <w:rsid w:val="008227E9"/>
    <w:rsid w:val="00825253"/>
    <w:rsid w:val="008252C5"/>
    <w:rsid w:val="00825468"/>
    <w:rsid w:val="00831415"/>
    <w:rsid w:val="00831860"/>
    <w:rsid w:val="00832F2D"/>
    <w:rsid w:val="00836C6A"/>
    <w:rsid w:val="0084191E"/>
    <w:rsid w:val="00841C9F"/>
    <w:rsid w:val="0084294E"/>
    <w:rsid w:val="00843EFF"/>
    <w:rsid w:val="008442A5"/>
    <w:rsid w:val="00847715"/>
    <w:rsid w:val="008477A9"/>
    <w:rsid w:val="0085336E"/>
    <w:rsid w:val="0085416A"/>
    <w:rsid w:val="00856B0F"/>
    <w:rsid w:val="0086691B"/>
    <w:rsid w:val="0087186A"/>
    <w:rsid w:val="00871FA4"/>
    <w:rsid w:val="00872C56"/>
    <w:rsid w:val="00874F67"/>
    <w:rsid w:val="0087670D"/>
    <w:rsid w:val="00876AC2"/>
    <w:rsid w:val="00880112"/>
    <w:rsid w:val="00883F43"/>
    <w:rsid w:val="00884C98"/>
    <w:rsid w:val="00884CE2"/>
    <w:rsid w:val="00885948"/>
    <w:rsid w:val="00885A9E"/>
    <w:rsid w:val="00885E7D"/>
    <w:rsid w:val="00891781"/>
    <w:rsid w:val="0089363F"/>
    <w:rsid w:val="00894D05"/>
    <w:rsid w:val="00896451"/>
    <w:rsid w:val="0089647B"/>
    <w:rsid w:val="00896ED8"/>
    <w:rsid w:val="008A209D"/>
    <w:rsid w:val="008A2436"/>
    <w:rsid w:val="008A4E8C"/>
    <w:rsid w:val="008A563D"/>
    <w:rsid w:val="008A7359"/>
    <w:rsid w:val="008A7CD9"/>
    <w:rsid w:val="008B3B0A"/>
    <w:rsid w:val="008B581D"/>
    <w:rsid w:val="008C15C9"/>
    <w:rsid w:val="008C2BA0"/>
    <w:rsid w:val="008C2F1F"/>
    <w:rsid w:val="008C3C04"/>
    <w:rsid w:val="008C69F2"/>
    <w:rsid w:val="008C7819"/>
    <w:rsid w:val="008D1D44"/>
    <w:rsid w:val="008D3E6C"/>
    <w:rsid w:val="008E04EC"/>
    <w:rsid w:val="008E216D"/>
    <w:rsid w:val="008E43F4"/>
    <w:rsid w:val="008E5D9B"/>
    <w:rsid w:val="008F1DE8"/>
    <w:rsid w:val="008F42F6"/>
    <w:rsid w:val="008F5282"/>
    <w:rsid w:val="00902D0B"/>
    <w:rsid w:val="009032F4"/>
    <w:rsid w:val="00912BAC"/>
    <w:rsid w:val="0091344D"/>
    <w:rsid w:val="00914F9F"/>
    <w:rsid w:val="00916A2A"/>
    <w:rsid w:val="00917519"/>
    <w:rsid w:val="00925058"/>
    <w:rsid w:val="009267F1"/>
    <w:rsid w:val="00926CDB"/>
    <w:rsid w:val="00927086"/>
    <w:rsid w:val="00930113"/>
    <w:rsid w:val="00930DCF"/>
    <w:rsid w:val="00931978"/>
    <w:rsid w:val="009356EC"/>
    <w:rsid w:val="00937FB2"/>
    <w:rsid w:val="0094114F"/>
    <w:rsid w:val="009423C9"/>
    <w:rsid w:val="00942F27"/>
    <w:rsid w:val="009434A5"/>
    <w:rsid w:val="00944C3F"/>
    <w:rsid w:val="00945A12"/>
    <w:rsid w:val="00947BCF"/>
    <w:rsid w:val="0095690D"/>
    <w:rsid w:val="009609C5"/>
    <w:rsid w:val="00962EB0"/>
    <w:rsid w:val="009636A2"/>
    <w:rsid w:val="009636E4"/>
    <w:rsid w:val="00963D52"/>
    <w:rsid w:val="00965B1A"/>
    <w:rsid w:val="0096780D"/>
    <w:rsid w:val="00971B57"/>
    <w:rsid w:val="0097477F"/>
    <w:rsid w:val="00976933"/>
    <w:rsid w:val="00981893"/>
    <w:rsid w:val="00981A41"/>
    <w:rsid w:val="00983FB0"/>
    <w:rsid w:val="0098474C"/>
    <w:rsid w:val="00984974"/>
    <w:rsid w:val="00986438"/>
    <w:rsid w:val="0098729D"/>
    <w:rsid w:val="00987DBF"/>
    <w:rsid w:val="00996864"/>
    <w:rsid w:val="009970F9"/>
    <w:rsid w:val="009A2B60"/>
    <w:rsid w:val="009A5590"/>
    <w:rsid w:val="009A78BA"/>
    <w:rsid w:val="009B3775"/>
    <w:rsid w:val="009B6630"/>
    <w:rsid w:val="009C2290"/>
    <w:rsid w:val="009C3837"/>
    <w:rsid w:val="009C44BD"/>
    <w:rsid w:val="009C4536"/>
    <w:rsid w:val="009C537F"/>
    <w:rsid w:val="009D0585"/>
    <w:rsid w:val="009D2BB3"/>
    <w:rsid w:val="009E0051"/>
    <w:rsid w:val="009E0846"/>
    <w:rsid w:val="009E1EF4"/>
    <w:rsid w:val="009E1F32"/>
    <w:rsid w:val="009E3AE0"/>
    <w:rsid w:val="009E4BD5"/>
    <w:rsid w:val="009F08C4"/>
    <w:rsid w:val="009F1BE0"/>
    <w:rsid w:val="009F7CED"/>
    <w:rsid w:val="00A00270"/>
    <w:rsid w:val="00A04569"/>
    <w:rsid w:val="00A0736A"/>
    <w:rsid w:val="00A07DE7"/>
    <w:rsid w:val="00A12030"/>
    <w:rsid w:val="00A120D6"/>
    <w:rsid w:val="00A1301A"/>
    <w:rsid w:val="00A14C37"/>
    <w:rsid w:val="00A1567A"/>
    <w:rsid w:val="00A161B9"/>
    <w:rsid w:val="00A17477"/>
    <w:rsid w:val="00A219D7"/>
    <w:rsid w:val="00A24366"/>
    <w:rsid w:val="00A27261"/>
    <w:rsid w:val="00A2785C"/>
    <w:rsid w:val="00A27E5E"/>
    <w:rsid w:val="00A3028C"/>
    <w:rsid w:val="00A31A94"/>
    <w:rsid w:val="00A31D45"/>
    <w:rsid w:val="00A33DCF"/>
    <w:rsid w:val="00A377FE"/>
    <w:rsid w:val="00A4128C"/>
    <w:rsid w:val="00A418F0"/>
    <w:rsid w:val="00A41AEF"/>
    <w:rsid w:val="00A447B3"/>
    <w:rsid w:val="00A500DD"/>
    <w:rsid w:val="00A52C3F"/>
    <w:rsid w:val="00A55DB6"/>
    <w:rsid w:val="00A5765A"/>
    <w:rsid w:val="00A57F44"/>
    <w:rsid w:val="00A60FA0"/>
    <w:rsid w:val="00A61784"/>
    <w:rsid w:val="00A61B2B"/>
    <w:rsid w:val="00A64120"/>
    <w:rsid w:val="00A6467D"/>
    <w:rsid w:val="00A666CD"/>
    <w:rsid w:val="00A72973"/>
    <w:rsid w:val="00A72D28"/>
    <w:rsid w:val="00A74AFD"/>
    <w:rsid w:val="00A760B6"/>
    <w:rsid w:val="00A76B1D"/>
    <w:rsid w:val="00A80613"/>
    <w:rsid w:val="00A80FEC"/>
    <w:rsid w:val="00A82C76"/>
    <w:rsid w:val="00A83A98"/>
    <w:rsid w:val="00A85AEA"/>
    <w:rsid w:val="00A94019"/>
    <w:rsid w:val="00AA28E8"/>
    <w:rsid w:val="00AA6D97"/>
    <w:rsid w:val="00AA74F3"/>
    <w:rsid w:val="00AB0708"/>
    <w:rsid w:val="00AB0C45"/>
    <w:rsid w:val="00AB6652"/>
    <w:rsid w:val="00AC1847"/>
    <w:rsid w:val="00AC1AF8"/>
    <w:rsid w:val="00AC2B6E"/>
    <w:rsid w:val="00AC447D"/>
    <w:rsid w:val="00AC5FF1"/>
    <w:rsid w:val="00AC7E91"/>
    <w:rsid w:val="00AD5446"/>
    <w:rsid w:val="00AD623F"/>
    <w:rsid w:val="00AD7535"/>
    <w:rsid w:val="00AD7B82"/>
    <w:rsid w:val="00AE03F3"/>
    <w:rsid w:val="00AE14CC"/>
    <w:rsid w:val="00AF5E71"/>
    <w:rsid w:val="00B104DC"/>
    <w:rsid w:val="00B10C7F"/>
    <w:rsid w:val="00B13AE3"/>
    <w:rsid w:val="00B17117"/>
    <w:rsid w:val="00B22CFD"/>
    <w:rsid w:val="00B240F4"/>
    <w:rsid w:val="00B25550"/>
    <w:rsid w:val="00B25A97"/>
    <w:rsid w:val="00B300F5"/>
    <w:rsid w:val="00B30168"/>
    <w:rsid w:val="00B302FC"/>
    <w:rsid w:val="00B304E4"/>
    <w:rsid w:val="00B30DCD"/>
    <w:rsid w:val="00B36AA9"/>
    <w:rsid w:val="00B377D3"/>
    <w:rsid w:val="00B4178F"/>
    <w:rsid w:val="00B4216E"/>
    <w:rsid w:val="00B448DC"/>
    <w:rsid w:val="00B463AC"/>
    <w:rsid w:val="00B51095"/>
    <w:rsid w:val="00B6123C"/>
    <w:rsid w:val="00B61416"/>
    <w:rsid w:val="00B61CA6"/>
    <w:rsid w:val="00B647BC"/>
    <w:rsid w:val="00B65D28"/>
    <w:rsid w:val="00B65EFF"/>
    <w:rsid w:val="00B65F1B"/>
    <w:rsid w:val="00B66C72"/>
    <w:rsid w:val="00B66D03"/>
    <w:rsid w:val="00B7000F"/>
    <w:rsid w:val="00B729FC"/>
    <w:rsid w:val="00B73EC6"/>
    <w:rsid w:val="00B74FD3"/>
    <w:rsid w:val="00B7582D"/>
    <w:rsid w:val="00B766E4"/>
    <w:rsid w:val="00B76D5C"/>
    <w:rsid w:val="00B80E2A"/>
    <w:rsid w:val="00B8122A"/>
    <w:rsid w:val="00B8326D"/>
    <w:rsid w:val="00B84060"/>
    <w:rsid w:val="00B84AF8"/>
    <w:rsid w:val="00B86698"/>
    <w:rsid w:val="00B937B6"/>
    <w:rsid w:val="00B939C1"/>
    <w:rsid w:val="00B93CF9"/>
    <w:rsid w:val="00B94273"/>
    <w:rsid w:val="00B953FB"/>
    <w:rsid w:val="00B95A0C"/>
    <w:rsid w:val="00B96775"/>
    <w:rsid w:val="00BA180F"/>
    <w:rsid w:val="00BA450F"/>
    <w:rsid w:val="00BA642D"/>
    <w:rsid w:val="00BB545F"/>
    <w:rsid w:val="00BC03BC"/>
    <w:rsid w:val="00BC111D"/>
    <w:rsid w:val="00BC1B0F"/>
    <w:rsid w:val="00BC5971"/>
    <w:rsid w:val="00BC7D6E"/>
    <w:rsid w:val="00BD1448"/>
    <w:rsid w:val="00BD2342"/>
    <w:rsid w:val="00BD292A"/>
    <w:rsid w:val="00BD4B65"/>
    <w:rsid w:val="00BD4EAD"/>
    <w:rsid w:val="00BD736D"/>
    <w:rsid w:val="00BE280C"/>
    <w:rsid w:val="00BE4684"/>
    <w:rsid w:val="00BE4D7C"/>
    <w:rsid w:val="00BF054E"/>
    <w:rsid w:val="00BF0651"/>
    <w:rsid w:val="00BF0DB9"/>
    <w:rsid w:val="00BF0FBD"/>
    <w:rsid w:val="00BF723E"/>
    <w:rsid w:val="00C01825"/>
    <w:rsid w:val="00C048A7"/>
    <w:rsid w:val="00C1098F"/>
    <w:rsid w:val="00C12B93"/>
    <w:rsid w:val="00C134C3"/>
    <w:rsid w:val="00C15531"/>
    <w:rsid w:val="00C24565"/>
    <w:rsid w:val="00C26C14"/>
    <w:rsid w:val="00C2753D"/>
    <w:rsid w:val="00C27D76"/>
    <w:rsid w:val="00C31D59"/>
    <w:rsid w:val="00C34366"/>
    <w:rsid w:val="00C34C20"/>
    <w:rsid w:val="00C36892"/>
    <w:rsid w:val="00C4009A"/>
    <w:rsid w:val="00C401C2"/>
    <w:rsid w:val="00C41127"/>
    <w:rsid w:val="00C414DC"/>
    <w:rsid w:val="00C45868"/>
    <w:rsid w:val="00C46330"/>
    <w:rsid w:val="00C46511"/>
    <w:rsid w:val="00C47F73"/>
    <w:rsid w:val="00C50C55"/>
    <w:rsid w:val="00C50F2C"/>
    <w:rsid w:val="00C513B1"/>
    <w:rsid w:val="00C517D1"/>
    <w:rsid w:val="00C528EC"/>
    <w:rsid w:val="00C52E86"/>
    <w:rsid w:val="00C55B55"/>
    <w:rsid w:val="00C5682C"/>
    <w:rsid w:val="00C6077B"/>
    <w:rsid w:val="00C60A66"/>
    <w:rsid w:val="00C61441"/>
    <w:rsid w:val="00C65872"/>
    <w:rsid w:val="00C659A5"/>
    <w:rsid w:val="00C674AB"/>
    <w:rsid w:val="00C67C3D"/>
    <w:rsid w:val="00C722CA"/>
    <w:rsid w:val="00C7294E"/>
    <w:rsid w:val="00C752C9"/>
    <w:rsid w:val="00C76B63"/>
    <w:rsid w:val="00C812C8"/>
    <w:rsid w:val="00C8497F"/>
    <w:rsid w:val="00C84F2A"/>
    <w:rsid w:val="00C87D89"/>
    <w:rsid w:val="00C91F90"/>
    <w:rsid w:val="00C95062"/>
    <w:rsid w:val="00CA26B7"/>
    <w:rsid w:val="00CA57DF"/>
    <w:rsid w:val="00CA59EA"/>
    <w:rsid w:val="00CA68B2"/>
    <w:rsid w:val="00CB0063"/>
    <w:rsid w:val="00CB2374"/>
    <w:rsid w:val="00CB3B71"/>
    <w:rsid w:val="00CB4899"/>
    <w:rsid w:val="00CB4D37"/>
    <w:rsid w:val="00CB66F7"/>
    <w:rsid w:val="00CB721A"/>
    <w:rsid w:val="00CB7365"/>
    <w:rsid w:val="00CC0C62"/>
    <w:rsid w:val="00CC1333"/>
    <w:rsid w:val="00CC1ACF"/>
    <w:rsid w:val="00CC259C"/>
    <w:rsid w:val="00CC42D1"/>
    <w:rsid w:val="00CC5B3E"/>
    <w:rsid w:val="00CD2A90"/>
    <w:rsid w:val="00CD3600"/>
    <w:rsid w:val="00CE1A87"/>
    <w:rsid w:val="00CE351D"/>
    <w:rsid w:val="00CE4B7E"/>
    <w:rsid w:val="00CE4F85"/>
    <w:rsid w:val="00CE5AB3"/>
    <w:rsid w:val="00CE6528"/>
    <w:rsid w:val="00CE7B9D"/>
    <w:rsid w:val="00CF25EF"/>
    <w:rsid w:val="00D02131"/>
    <w:rsid w:val="00D04A96"/>
    <w:rsid w:val="00D054D6"/>
    <w:rsid w:val="00D05B67"/>
    <w:rsid w:val="00D05D52"/>
    <w:rsid w:val="00D166B3"/>
    <w:rsid w:val="00D16A1E"/>
    <w:rsid w:val="00D178D1"/>
    <w:rsid w:val="00D20AAE"/>
    <w:rsid w:val="00D22652"/>
    <w:rsid w:val="00D24980"/>
    <w:rsid w:val="00D26D53"/>
    <w:rsid w:val="00D30E54"/>
    <w:rsid w:val="00D31F43"/>
    <w:rsid w:val="00D32BC1"/>
    <w:rsid w:val="00D35CDB"/>
    <w:rsid w:val="00D40E59"/>
    <w:rsid w:val="00D415E6"/>
    <w:rsid w:val="00D4162F"/>
    <w:rsid w:val="00D444C5"/>
    <w:rsid w:val="00D44CBF"/>
    <w:rsid w:val="00D4586F"/>
    <w:rsid w:val="00D45A8D"/>
    <w:rsid w:val="00D50F7E"/>
    <w:rsid w:val="00D51D7F"/>
    <w:rsid w:val="00D52B2A"/>
    <w:rsid w:val="00D530DC"/>
    <w:rsid w:val="00D55A3F"/>
    <w:rsid w:val="00D560E2"/>
    <w:rsid w:val="00D62023"/>
    <w:rsid w:val="00D66744"/>
    <w:rsid w:val="00D7070F"/>
    <w:rsid w:val="00D709DD"/>
    <w:rsid w:val="00D8294A"/>
    <w:rsid w:val="00D82FA2"/>
    <w:rsid w:val="00D83F98"/>
    <w:rsid w:val="00D84A75"/>
    <w:rsid w:val="00D85F90"/>
    <w:rsid w:val="00D90649"/>
    <w:rsid w:val="00D9193F"/>
    <w:rsid w:val="00D91E89"/>
    <w:rsid w:val="00D9213D"/>
    <w:rsid w:val="00D92445"/>
    <w:rsid w:val="00D965B1"/>
    <w:rsid w:val="00D97DF9"/>
    <w:rsid w:val="00DA49E1"/>
    <w:rsid w:val="00DA6526"/>
    <w:rsid w:val="00DA6C54"/>
    <w:rsid w:val="00DA72C5"/>
    <w:rsid w:val="00DB57EB"/>
    <w:rsid w:val="00DC54A3"/>
    <w:rsid w:val="00DC6AE9"/>
    <w:rsid w:val="00DD1684"/>
    <w:rsid w:val="00DD181C"/>
    <w:rsid w:val="00DD2DC4"/>
    <w:rsid w:val="00DD2F2C"/>
    <w:rsid w:val="00DD3AE4"/>
    <w:rsid w:val="00DD48D9"/>
    <w:rsid w:val="00DD4FEF"/>
    <w:rsid w:val="00DD582E"/>
    <w:rsid w:val="00DD6B2E"/>
    <w:rsid w:val="00DD6D39"/>
    <w:rsid w:val="00DD7ABE"/>
    <w:rsid w:val="00DE1540"/>
    <w:rsid w:val="00DE15EC"/>
    <w:rsid w:val="00DE520C"/>
    <w:rsid w:val="00DF1E66"/>
    <w:rsid w:val="00DF60FD"/>
    <w:rsid w:val="00DF6410"/>
    <w:rsid w:val="00E007F7"/>
    <w:rsid w:val="00E0323C"/>
    <w:rsid w:val="00E05F18"/>
    <w:rsid w:val="00E06A27"/>
    <w:rsid w:val="00E07DAD"/>
    <w:rsid w:val="00E12202"/>
    <w:rsid w:val="00E17209"/>
    <w:rsid w:val="00E17E56"/>
    <w:rsid w:val="00E23780"/>
    <w:rsid w:val="00E242C5"/>
    <w:rsid w:val="00E24320"/>
    <w:rsid w:val="00E24673"/>
    <w:rsid w:val="00E24F26"/>
    <w:rsid w:val="00E25F38"/>
    <w:rsid w:val="00E261B4"/>
    <w:rsid w:val="00E31E85"/>
    <w:rsid w:val="00E37DED"/>
    <w:rsid w:val="00E407FF"/>
    <w:rsid w:val="00E40C34"/>
    <w:rsid w:val="00E41E2C"/>
    <w:rsid w:val="00E4412F"/>
    <w:rsid w:val="00E44207"/>
    <w:rsid w:val="00E66C57"/>
    <w:rsid w:val="00E66D00"/>
    <w:rsid w:val="00E66DE0"/>
    <w:rsid w:val="00E7224C"/>
    <w:rsid w:val="00E729F2"/>
    <w:rsid w:val="00E74159"/>
    <w:rsid w:val="00E741CF"/>
    <w:rsid w:val="00E75AE8"/>
    <w:rsid w:val="00E75DBD"/>
    <w:rsid w:val="00E77AB8"/>
    <w:rsid w:val="00E805D3"/>
    <w:rsid w:val="00E80826"/>
    <w:rsid w:val="00E82982"/>
    <w:rsid w:val="00E8493B"/>
    <w:rsid w:val="00E84DA1"/>
    <w:rsid w:val="00E86914"/>
    <w:rsid w:val="00E86F99"/>
    <w:rsid w:val="00E8706B"/>
    <w:rsid w:val="00E91332"/>
    <w:rsid w:val="00E94DD9"/>
    <w:rsid w:val="00E96E81"/>
    <w:rsid w:val="00E9759E"/>
    <w:rsid w:val="00E97671"/>
    <w:rsid w:val="00EA3045"/>
    <w:rsid w:val="00EA4A83"/>
    <w:rsid w:val="00EC118F"/>
    <w:rsid w:val="00EC1DE8"/>
    <w:rsid w:val="00EC35AE"/>
    <w:rsid w:val="00EC5B88"/>
    <w:rsid w:val="00ED0EB5"/>
    <w:rsid w:val="00ED4708"/>
    <w:rsid w:val="00EE0D69"/>
    <w:rsid w:val="00EE0F26"/>
    <w:rsid w:val="00EE2ABB"/>
    <w:rsid w:val="00EE68B0"/>
    <w:rsid w:val="00EF192B"/>
    <w:rsid w:val="00EF34EF"/>
    <w:rsid w:val="00EF4B2F"/>
    <w:rsid w:val="00EF7245"/>
    <w:rsid w:val="00F03068"/>
    <w:rsid w:val="00F06B8A"/>
    <w:rsid w:val="00F07A7D"/>
    <w:rsid w:val="00F113ED"/>
    <w:rsid w:val="00F153C1"/>
    <w:rsid w:val="00F16839"/>
    <w:rsid w:val="00F211E7"/>
    <w:rsid w:val="00F21D37"/>
    <w:rsid w:val="00F221F0"/>
    <w:rsid w:val="00F2440A"/>
    <w:rsid w:val="00F25567"/>
    <w:rsid w:val="00F256B6"/>
    <w:rsid w:val="00F26136"/>
    <w:rsid w:val="00F2713B"/>
    <w:rsid w:val="00F278B8"/>
    <w:rsid w:val="00F305D8"/>
    <w:rsid w:val="00F31785"/>
    <w:rsid w:val="00F37106"/>
    <w:rsid w:val="00F40F3E"/>
    <w:rsid w:val="00F42C18"/>
    <w:rsid w:val="00F44A2E"/>
    <w:rsid w:val="00F455FA"/>
    <w:rsid w:val="00F47D57"/>
    <w:rsid w:val="00F5167C"/>
    <w:rsid w:val="00F5442A"/>
    <w:rsid w:val="00F55AD0"/>
    <w:rsid w:val="00F55DC4"/>
    <w:rsid w:val="00F575E4"/>
    <w:rsid w:val="00F576B3"/>
    <w:rsid w:val="00F57A16"/>
    <w:rsid w:val="00F62E4C"/>
    <w:rsid w:val="00F71CBA"/>
    <w:rsid w:val="00F745E1"/>
    <w:rsid w:val="00F75A79"/>
    <w:rsid w:val="00F7620E"/>
    <w:rsid w:val="00F775AD"/>
    <w:rsid w:val="00F80E07"/>
    <w:rsid w:val="00F90326"/>
    <w:rsid w:val="00F90F86"/>
    <w:rsid w:val="00F92DF0"/>
    <w:rsid w:val="00F96A6A"/>
    <w:rsid w:val="00FA0454"/>
    <w:rsid w:val="00FA4A9E"/>
    <w:rsid w:val="00FB0539"/>
    <w:rsid w:val="00FB0725"/>
    <w:rsid w:val="00FB0F67"/>
    <w:rsid w:val="00FB1044"/>
    <w:rsid w:val="00FB1248"/>
    <w:rsid w:val="00FB217D"/>
    <w:rsid w:val="00FB29CC"/>
    <w:rsid w:val="00FB6A7C"/>
    <w:rsid w:val="00FB6CBD"/>
    <w:rsid w:val="00FC0522"/>
    <w:rsid w:val="00FC1236"/>
    <w:rsid w:val="00FC2DE3"/>
    <w:rsid w:val="00FC3827"/>
    <w:rsid w:val="00FC434F"/>
    <w:rsid w:val="00FC5240"/>
    <w:rsid w:val="00FD3A38"/>
    <w:rsid w:val="00FD3D04"/>
    <w:rsid w:val="00FD3DF0"/>
    <w:rsid w:val="00FD49A0"/>
    <w:rsid w:val="00FD4D5D"/>
    <w:rsid w:val="00FE27DE"/>
    <w:rsid w:val="00FF007A"/>
    <w:rsid w:val="00FF1731"/>
    <w:rsid w:val="00FF66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7EA9FC8"/>
  <w15:chartTrackingRefBased/>
  <w15:docId w15:val="{D7D9C9CF-7B77-6546-A5C0-B573B56EC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val="es-ES"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styleId="Textoindependiente2">
    <w:name w:val="Body Text 2"/>
    <w:aliases w:val="Figura"/>
    <w:basedOn w:val="Normal"/>
    <w:link w:val="Textoindependiente2Car"/>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semiHidden/>
    <w:rsid w:val="00885E7D"/>
    <w:rPr>
      <w:sz w:val="16"/>
      <w:szCs w:val="16"/>
    </w:rPr>
  </w:style>
  <w:style w:type="paragraph" w:styleId="Textocomentario">
    <w:name w:val="annotation text"/>
    <w:basedOn w:val="Normal"/>
    <w:semiHidden/>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aliases w:val=" Car1,Texto nota pie Car Car Car Car Car Car Car Car,Texto nota pie Car Car Car Car Car,Texto nota pie Car Car Car Car,ft Car,Texto nota pie Car Car Car Car Car Car Car Car Car,Texto nota pie Car Car Car Car Car Car Car,Car1,FA Fu"/>
    <w:basedOn w:val="Normal"/>
    <w:link w:val="TextonotapieCar"/>
    <w:uiPriority w:val="99"/>
    <w:qFormat/>
    <w:rsid w:val="00925058"/>
    <w:rPr>
      <w:rFonts w:ascii="Times" w:eastAsia="Times" w:hAnsi="Times"/>
      <w:lang w:val="en-US"/>
    </w:rPr>
  </w:style>
  <w:style w:type="character" w:customStyle="1" w:styleId="TextonotapieCar">
    <w:name w:val="Texto nota pie Car"/>
    <w:aliases w:val=" Car1 Car,Texto nota pie Car Car Car Car Car Car Car Car Car1,Texto nota pie Car Car Car Car Car Car,Texto nota pie Car Car Car Car Car1,ft Car Car,Texto nota pie Car Car Car Car Car Car Car Car Car Car,Car1 Car,FA Fu Car"/>
    <w:link w:val="Textonotapie"/>
    <w:uiPriority w:val="35"/>
    <w:rsid w:val="00925058"/>
    <w:rPr>
      <w:rFonts w:ascii="Times" w:eastAsia="Times" w:hAnsi="Times"/>
      <w:lang w:val="en-US" w:eastAsia="es-ES"/>
    </w:rPr>
  </w:style>
  <w:style w:type="character" w:styleId="Refdenotaalpie">
    <w:name w:val="footnote reference"/>
    <w:aliases w:val="Texto nota al pie,referencia nota al pie,Footnote symbol,Footnote,FC,Texto de nota al pie,BVI fnr,Ref. de nota al pie2,Nota de pie,Ref,de nota al pie,Pie de pagina,Appel note de bas de p,16 Point,Superscript 6 Point,Style 24,ftref"/>
    <w:uiPriority w:val="99"/>
    <w:qFormat/>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Lista vistosa - Énfasis 11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145E2C"/>
    <w:rPr>
      <w:rFonts w:ascii="Arial" w:eastAsia="Arial" w:hAnsi="Arial" w:cs="Arial"/>
      <w:lang w:val="es-ES" w:eastAsia="es-ES"/>
    </w:rPr>
  </w:style>
  <w:style w:type="paragraph" w:customStyle="1" w:styleId="paragraph">
    <w:name w:val="paragraph"/>
    <w:basedOn w:val="Normal"/>
    <w:rsid w:val="00145E2C"/>
    <w:pPr>
      <w:spacing w:before="100" w:beforeAutospacing="1" w:after="100" w:afterAutospacing="1"/>
    </w:pPr>
    <w:rPr>
      <w:rFonts w:ascii="Times New Roman" w:hAnsi="Times New Roman"/>
      <w:sz w:val="24"/>
      <w:szCs w:val="24"/>
      <w:lang w:val="es-CO" w:eastAsia="es-CO"/>
    </w:rPr>
  </w:style>
  <w:style w:type="character" w:customStyle="1" w:styleId="normaltextrun">
    <w:name w:val="normaltextrun"/>
    <w:basedOn w:val="Fuentedeprrafopredeter"/>
    <w:rsid w:val="00145E2C"/>
  </w:style>
  <w:style w:type="character" w:customStyle="1" w:styleId="eop">
    <w:name w:val="eop"/>
    <w:basedOn w:val="Fuentedeprrafopredeter"/>
    <w:rsid w:val="00145E2C"/>
  </w:style>
  <w:style w:type="paragraph" w:styleId="Prrafodelista">
    <w:name w:val="List Paragraph"/>
    <w:aliases w:val="Ha,titulo 3,items,Bolita,Párrafo de lista3,Párrafo de lista4,Párrafo de lista5,HOJA,BOLADEF,Párrafo de lista21,BOLA,Nivel 1 OS,Normal_viñetas_ICONTEC,Colorful List Accent 1,Bullet List,FooterText,Foot,List Paragraph,EITI list,Bullets"/>
    <w:basedOn w:val="Normal"/>
    <w:link w:val="PrrafodelistaCar"/>
    <w:uiPriority w:val="34"/>
    <w:qFormat/>
    <w:rsid w:val="00C812C8"/>
    <w:pPr>
      <w:spacing w:after="160" w:line="259" w:lineRule="auto"/>
      <w:ind w:left="720"/>
      <w:contextualSpacing/>
    </w:pPr>
    <w:rPr>
      <w:rFonts w:ascii="Times New Roman" w:hAnsi="Times New Roman"/>
      <w:sz w:val="24"/>
    </w:rPr>
  </w:style>
  <w:style w:type="character" w:customStyle="1" w:styleId="PrrafodelistaCar">
    <w:name w:val="Párrafo de lista Car"/>
    <w:aliases w:val="Ha Car,titulo 3 Car,items Car,Bolita Car,Párrafo de lista3 Car,Párrafo de lista4 Car,Párrafo de lista5 Car,HOJA Car,BOLADEF Car,Párrafo de lista21 Car,BOLA Car,Nivel 1 OS Car,Normal_viñetas_ICONTEC Car,Colorful List Accent 1 Car"/>
    <w:link w:val="Prrafodelista"/>
    <w:uiPriority w:val="34"/>
    <w:qFormat/>
    <w:locked/>
    <w:rsid w:val="00C812C8"/>
    <w:rPr>
      <w:sz w:val="24"/>
      <w:lang w:val="es-ES" w:eastAsia="es-ES"/>
    </w:rPr>
  </w:style>
  <w:style w:type="paragraph" w:styleId="Textonotaalfinal">
    <w:name w:val="endnote text"/>
    <w:basedOn w:val="Normal"/>
    <w:link w:val="TextonotaalfinalCar"/>
    <w:rsid w:val="00267052"/>
  </w:style>
  <w:style w:type="character" w:customStyle="1" w:styleId="TextonotaalfinalCar">
    <w:name w:val="Texto nota al final Car"/>
    <w:link w:val="Textonotaalfinal"/>
    <w:rsid w:val="00267052"/>
    <w:rPr>
      <w:rFonts w:ascii="Arial" w:hAnsi="Arial"/>
      <w:lang w:val="es-ES" w:eastAsia="es-ES"/>
    </w:rPr>
  </w:style>
  <w:style w:type="character" w:styleId="Refdenotaalfinal">
    <w:name w:val="endnote reference"/>
    <w:rsid w:val="00267052"/>
    <w:rPr>
      <w:vertAlign w:val="superscript"/>
    </w:rPr>
  </w:style>
  <w:style w:type="paragraph" w:styleId="Revisin">
    <w:name w:val="Revision"/>
    <w:hidden/>
    <w:uiPriority w:val="71"/>
    <w:rsid w:val="00D44CBF"/>
    <w:rPr>
      <w:rFonts w:ascii="Arial" w:hAnsi="Arial"/>
      <w:lang w:val="es-ES" w:eastAsia="es-ES"/>
    </w:rPr>
  </w:style>
  <w:style w:type="character" w:styleId="Hipervnculovisitado">
    <w:name w:val="FollowedHyperlink"/>
    <w:basedOn w:val="Fuentedeprrafopredeter"/>
    <w:rsid w:val="00D44CBF"/>
    <w:rPr>
      <w:color w:val="96607D" w:themeColor="followedHyperlink"/>
      <w:u w:val="single"/>
    </w:rPr>
  </w:style>
  <w:style w:type="character" w:styleId="Textodelmarcadordeposicin">
    <w:name w:val="Placeholder Text"/>
    <w:basedOn w:val="Fuentedeprrafopredeter"/>
    <w:uiPriority w:val="99"/>
    <w:unhideWhenUsed/>
    <w:rsid w:val="008C2F1F"/>
    <w:rPr>
      <w:color w:val="666666"/>
    </w:rPr>
  </w:style>
  <w:style w:type="paragraph" w:styleId="Descripcin">
    <w:name w:val="caption"/>
    <w:basedOn w:val="Normal"/>
    <w:next w:val="Normal"/>
    <w:unhideWhenUsed/>
    <w:qFormat/>
    <w:rsid w:val="001A7D55"/>
    <w:pPr>
      <w:spacing w:after="200"/>
    </w:pPr>
    <w:rPr>
      <w:i/>
      <w:iCs/>
      <w:color w:val="0E2841" w:themeColor="text2"/>
      <w:sz w:val="18"/>
      <w:szCs w:val="18"/>
    </w:rPr>
  </w:style>
  <w:style w:type="paragraph" w:customStyle="1" w:styleId="z1qcye">
    <w:name w:val="z1qcye"/>
    <w:basedOn w:val="Normal"/>
    <w:rsid w:val="00B36AA9"/>
    <w:pPr>
      <w:spacing w:before="100" w:beforeAutospacing="1" w:after="100" w:afterAutospacing="1"/>
    </w:pPr>
    <w:rPr>
      <w:rFonts w:ascii="Times New Roman" w:hAnsi="Times New Roman"/>
      <w:sz w:val="24"/>
      <w:szCs w:val="24"/>
      <w:lang w:val="es-CO" w:eastAsia="es-CO"/>
    </w:rPr>
  </w:style>
  <w:style w:type="character" w:customStyle="1" w:styleId="t286pc">
    <w:name w:val="t286pc"/>
    <w:basedOn w:val="Fuentedeprrafopredeter"/>
    <w:rsid w:val="00B36AA9"/>
  </w:style>
  <w:style w:type="character" w:customStyle="1" w:styleId="lqfa5">
    <w:name w:val="lqfa5"/>
    <w:basedOn w:val="Fuentedeprrafopredeter"/>
    <w:rsid w:val="00B36AA9"/>
  </w:style>
  <w:style w:type="paragraph" w:customStyle="1" w:styleId="ndm2cf">
    <w:name w:val="ndm2cf"/>
    <w:basedOn w:val="Normal"/>
    <w:rsid w:val="00B36AA9"/>
    <w:pPr>
      <w:spacing w:before="100" w:beforeAutospacing="1" w:after="100" w:afterAutospacing="1"/>
    </w:pPr>
    <w:rPr>
      <w:rFonts w:ascii="Times New Roman" w:hAnsi="Times New Roman"/>
      <w:sz w:val="24"/>
      <w:szCs w:val="24"/>
      <w:lang w:val="es-CO" w:eastAsia="es-CO"/>
    </w:rPr>
  </w:style>
  <w:style w:type="character" w:customStyle="1" w:styleId="vhj6pe">
    <w:name w:val="vhj6pe"/>
    <w:basedOn w:val="Fuentedeprrafopredeter"/>
    <w:rsid w:val="00B36AA9"/>
  </w:style>
  <w:style w:type="character" w:customStyle="1" w:styleId="r0r5r">
    <w:name w:val="r0r5r"/>
    <w:basedOn w:val="Fuentedeprrafopredeter"/>
    <w:rsid w:val="00B36AA9"/>
  </w:style>
  <w:style w:type="character" w:customStyle="1" w:styleId="yadgie">
    <w:name w:val="yadgie"/>
    <w:basedOn w:val="Fuentedeprrafopredeter"/>
    <w:rsid w:val="00C46511"/>
  </w:style>
  <w:style w:type="character" w:customStyle="1" w:styleId="Textoindependiente2Car">
    <w:name w:val="Texto independiente 2 Car"/>
    <w:aliases w:val="Figura Car"/>
    <w:basedOn w:val="Fuentedeprrafopredeter"/>
    <w:link w:val="Textoindependiente2"/>
    <w:qFormat/>
    <w:rsid w:val="00B61416"/>
    <w:rPr>
      <w:rFonts w:ascii="Arial" w:hAnsi="Arial"/>
      <w:lang w:val="es-ES" w:eastAsia="es-ES"/>
    </w:rPr>
  </w:style>
  <w:style w:type="paragraph" w:customStyle="1" w:styleId="isselectedend">
    <w:name w:val="isselectedend"/>
    <w:basedOn w:val="Normal"/>
    <w:rsid w:val="00BC1B0F"/>
    <w:pPr>
      <w:spacing w:before="100" w:beforeAutospacing="1" w:after="100" w:afterAutospacing="1"/>
    </w:pPr>
    <w:rPr>
      <w:rFonts w:ascii="Times New Roman" w:hAnsi="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8110">
      <w:marLeft w:val="640"/>
      <w:marRight w:val="0"/>
      <w:marTop w:val="0"/>
      <w:marBottom w:val="0"/>
      <w:divBdr>
        <w:top w:val="none" w:sz="0" w:space="0" w:color="auto"/>
        <w:left w:val="none" w:sz="0" w:space="0" w:color="auto"/>
        <w:bottom w:val="none" w:sz="0" w:space="0" w:color="auto"/>
        <w:right w:val="none" w:sz="0" w:space="0" w:color="auto"/>
      </w:divBdr>
    </w:div>
    <w:div w:id="40062882">
      <w:marLeft w:val="640"/>
      <w:marRight w:val="0"/>
      <w:marTop w:val="0"/>
      <w:marBottom w:val="0"/>
      <w:divBdr>
        <w:top w:val="none" w:sz="0" w:space="0" w:color="auto"/>
        <w:left w:val="none" w:sz="0" w:space="0" w:color="auto"/>
        <w:bottom w:val="none" w:sz="0" w:space="0" w:color="auto"/>
        <w:right w:val="none" w:sz="0" w:space="0" w:color="auto"/>
      </w:divBdr>
    </w:div>
    <w:div w:id="53704787">
      <w:marLeft w:val="640"/>
      <w:marRight w:val="0"/>
      <w:marTop w:val="0"/>
      <w:marBottom w:val="0"/>
      <w:divBdr>
        <w:top w:val="none" w:sz="0" w:space="0" w:color="auto"/>
        <w:left w:val="none" w:sz="0" w:space="0" w:color="auto"/>
        <w:bottom w:val="none" w:sz="0" w:space="0" w:color="auto"/>
        <w:right w:val="none" w:sz="0" w:space="0" w:color="auto"/>
      </w:divBdr>
    </w:div>
    <w:div w:id="78867060">
      <w:marLeft w:val="640"/>
      <w:marRight w:val="0"/>
      <w:marTop w:val="0"/>
      <w:marBottom w:val="0"/>
      <w:divBdr>
        <w:top w:val="none" w:sz="0" w:space="0" w:color="auto"/>
        <w:left w:val="none" w:sz="0" w:space="0" w:color="auto"/>
        <w:bottom w:val="none" w:sz="0" w:space="0" w:color="auto"/>
        <w:right w:val="none" w:sz="0" w:space="0" w:color="auto"/>
      </w:divBdr>
    </w:div>
    <w:div w:id="96491585">
      <w:marLeft w:val="480"/>
      <w:marRight w:val="0"/>
      <w:marTop w:val="0"/>
      <w:marBottom w:val="0"/>
      <w:divBdr>
        <w:top w:val="none" w:sz="0" w:space="0" w:color="auto"/>
        <w:left w:val="none" w:sz="0" w:space="0" w:color="auto"/>
        <w:bottom w:val="none" w:sz="0" w:space="0" w:color="auto"/>
        <w:right w:val="none" w:sz="0" w:space="0" w:color="auto"/>
      </w:divBdr>
    </w:div>
    <w:div w:id="120077161">
      <w:marLeft w:val="640"/>
      <w:marRight w:val="0"/>
      <w:marTop w:val="0"/>
      <w:marBottom w:val="0"/>
      <w:divBdr>
        <w:top w:val="none" w:sz="0" w:space="0" w:color="auto"/>
        <w:left w:val="none" w:sz="0" w:space="0" w:color="auto"/>
        <w:bottom w:val="none" w:sz="0" w:space="0" w:color="auto"/>
        <w:right w:val="none" w:sz="0" w:space="0" w:color="auto"/>
      </w:divBdr>
    </w:div>
    <w:div w:id="133184479">
      <w:bodyDiv w:val="1"/>
      <w:marLeft w:val="0"/>
      <w:marRight w:val="0"/>
      <w:marTop w:val="0"/>
      <w:marBottom w:val="0"/>
      <w:divBdr>
        <w:top w:val="none" w:sz="0" w:space="0" w:color="auto"/>
        <w:left w:val="none" w:sz="0" w:space="0" w:color="auto"/>
        <w:bottom w:val="none" w:sz="0" w:space="0" w:color="auto"/>
        <w:right w:val="none" w:sz="0" w:space="0" w:color="auto"/>
      </w:divBdr>
    </w:div>
    <w:div w:id="133449714">
      <w:marLeft w:val="640"/>
      <w:marRight w:val="0"/>
      <w:marTop w:val="0"/>
      <w:marBottom w:val="0"/>
      <w:divBdr>
        <w:top w:val="none" w:sz="0" w:space="0" w:color="auto"/>
        <w:left w:val="none" w:sz="0" w:space="0" w:color="auto"/>
        <w:bottom w:val="none" w:sz="0" w:space="0" w:color="auto"/>
        <w:right w:val="none" w:sz="0" w:space="0" w:color="auto"/>
      </w:divBdr>
    </w:div>
    <w:div w:id="158812519">
      <w:bodyDiv w:val="1"/>
      <w:marLeft w:val="0"/>
      <w:marRight w:val="0"/>
      <w:marTop w:val="0"/>
      <w:marBottom w:val="0"/>
      <w:divBdr>
        <w:top w:val="none" w:sz="0" w:space="0" w:color="auto"/>
        <w:left w:val="none" w:sz="0" w:space="0" w:color="auto"/>
        <w:bottom w:val="none" w:sz="0" w:space="0" w:color="auto"/>
        <w:right w:val="none" w:sz="0" w:space="0" w:color="auto"/>
      </w:divBdr>
    </w:div>
    <w:div w:id="171383601">
      <w:marLeft w:val="640"/>
      <w:marRight w:val="0"/>
      <w:marTop w:val="0"/>
      <w:marBottom w:val="0"/>
      <w:divBdr>
        <w:top w:val="none" w:sz="0" w:space="0" w:color="auto"/>
        <w:left w:val="none" w:sz="0" w:space="0" w:color="auto"/>
        <w:bottom w:val="none" w:sz="0" w:space="0" w:color="auto"/>
        <w:right w:val="none" w:sz="0" w:space="0" w:color="auto"/>
      </w:divBdr>
    </w:div>
    <w:div w:id="176624409">
      <w:marLeft w:val="640"/>
      <w:marRight w:val="0"/>
      <w:marTop w:val="0"/>
      <w:marBottom w:val="0"/>
      <w:divBdr>
        <w:top w:val="none" w:sz="0" w:space="0" w:color="auto"/>
        <w:left w:val="none" w:sz="0" w:space="0" w:color="auto"/>
        <w:bottom w:val="none" w:sz="0" w:space="0" w:color="auto"/>
        <w:right w:val="none" w:sz="0" w:space="0" w:color="auto"/>
      </w:divBdr>
    </w:div>
    <w:div w:id="197740552">
      <w:marLeft w:val="640"/>
      <w:marRight w:val="0"/>
      <w:marTop w:val="0"/>
      <w:marBottom w:val="0"/>
      <w:divBdr>
        <w:top w:val="none" w:sz="0" w:space="0" w:color="auto"/>
        <w:left w:val="none" w:sz="0" w:space="0" w:color="auto"/>
        <w:bottom w:val="none" w:sz="0" w:space="0" w:color="auto"/>
        <w:right w:val="none" w:sz="0" w:space="0" w:color="auto"/>
      </w:divBdr>
    </w:div>
    <w:div w:id="287276905">
      <w:bodyDiv w:val="1"/>
      <w:marLeft w:val="0"/>
      <w:marRight w:val="0"/>
      <w:marTop w:val="0"/>
      <w:marBottom w:val="0"/>
      <w:divBdr>
        <w:top w:val="none" w:sz="0" w:space="0" w:color="auto"/>
        <w:left w:val="none" w:sz="0" w:space="0" w:color="auto"/>
        <w:bottom w:val="none" w:sz="0" w:space="0" w:color="auto"/>
        <w:right w:val="none" w:sz="0" w:space="0" w:color="auto"/>
      </w:divBdr>
    </w:div>
    <w:div w:id="322320300">
      <w:marLeft w:val="64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40160658">
      <w:marLeft w:val="640"/>
      <w:marRight w:val="0"/>
      <w:marTop w:val="0"/>
      <w:marBottom w:val="0"/>
      <w:divBdr>
        <w:top w:val="none" w:sz="0" w:space="0" w:color="auto"/>
        <w:left w:val="none" w:sz="0" w:space="0" w:color="auto"/>
        <w:bottom w:val="none" w:sz="0" w:space="0" w:color="auto"/>
        <w:right w:val="none" w:sz="0" w:space="0" w:color="auto"/>
      </w:divBdr>
    </w:div>
    <w:div w:id="374434164">
      <w:marLeft w:val="480"/>
      <w:marRight w:val="0"/>
      <w:marTop w:val="0"/>
      <w:marBottom w:val="0"/>
      <w:divBdr>
        <w:top w:val="none" w:sz="0" w:space="0" w:color="auto"/>
        <w:left w:val="none" w:sz="0" w:space="0" w:color="auto"/>
        <w:bottom w:val="none" w:sz="0" w:space="0" w:color="auto"/>
        <w:right w:val="none" w:sz="0" w:space="0" w:color="auto"/>
      </w:divBdr>
    </w:div>
    <w:div w:id="389615736">
      <w:marLeft w:val="480"/>
      <w:marRight w:val="0"/>
      <w:marTop w:val="0"/>
      <w:marBottom w:val="0"/>
      <w:divBdr>
        <w:top w:val="none" w:sz="0" w:space="0" w:color="auto"/>
        <w:left w:val="none" w:sz="0" w:space="0" w:color="auto"/>
        <w:bottom w:val="none" w:sz="0" w:space="0" w:color="auto"/>
        <w:right w:val="none" w:sz="0" w:space="0" w:color="auto"/>
      </w:divBdr>
    </w:div>
    <w:div w:id="399136603">
      <w:marLeft w:val="640"/>
      <w:marRight w:val="0"/>
      <w:marTop w:val="0"/>
      <w:marBottom w:val="0"/>
      <w:divBdr>
        <w:top w:val="none" w:sz="0" w:space="0" w:color="auto"/>
        <w:left w:val="none" w:sz="0" w:space="0" w:color="auto"/>
        <w:bottom w:val="none" w:sz="0" w:space="0" w:color="auto"/>
        <w:right w:val="none" w:sz="0" w:space="0" w:color="auto"/>
      </w:divBdr>
    </w:div>
    <w:div w:id="401099497">
      <w:marLeft w:val="640"/>
      <w:marRight w:val="0"/>
      <w:marTop w:val="0"/>
      <w:marBottom w:val="0"/>
      <w:divBdr>
        <w:top w:val="none" w:sz="0" w:space="0" w:color="auto"/>
        <w:left w:val="none" w:sz="0" w:space="0" w:color="auto"/>
        <w:bottom w:val="none" w:sz="0" w:space="0" w:color="auto"/>
        <w:right w:val="none" w:sz="0" w:space="0" w:color="auto"/>
      </w:divBdr>
    </w:div>
    <w:div w:id="403844320">
      <w:marLeft w:val="640"/>
      <w:marRight w:val="0"/>
      <w:marTop w:val="0"/>
      <w:marBottom w:val="0"/>
      <w:divBdr>
        <w:top w:val="none" w:sz="0" w:space="0" w:color="auto"/>
        <w:left w:val="none" w:sz="0" w:space="0" w:color="auto"/>
        <w:bottom w:val="none" w:sz="0" w:space="0" w:color="auto"/>
        <w:right w:val="none" w:sz="0" w:space="0" w:color="auto"/>
      </w:divBdr>
    </w:div>
    <w:div w:id="412623684">
      <w:marLeft w:val="640"/>
      <w:marRight w:val="0"/>
      <w:marTop w:val="0"/>
      <w:marBottom w:val="0"/>
      <w:divBdr>
        <w:top w:val="none" w:sz="0" w:space="0" w:color="auto"/>
        <w:left w:val="none" w:sz="0" w:space="0" w:color="auto"/>
        <w:bottom w:val="none" w:sz="0" w:space="0" w:color="auto"/>
        <w:right w:val="none" w:sz="0" w:space="0" w:color="auto"/>
      </w:divBdr>
    </w:div>
    <w:div w:id="418790333">
      <w:marLeft w:val="640"/>
      <w:marRight w:val="0"/>
      <w:marTop w:val="0"/>
      <w:marBottom w:val="0"/>
      <w:divBdr>
        <w:top w:val="none" w:sz="0" w:space="0" w:color="auto"/>
        <w:left w:val="none" w:sz="0" w:space="0" w:color="auto"/>
        <w:bottom w:val="none" w:sz="0" w:space="0" w:color="auto"/>
        <w:right w:val="none" w:sz="0" w:space="0" w:color="auto"/>
      </w:divBdr>
    </w:div>
    <w:div w:id="444346295">
      <w:marLeft w:val="640"/>
      <w:marRight w:val="0"/>
      <w:marTop w:val="0"/>
      <w:marBottom w:val="0"/>
      <w:divBdr>
        <w:top w:val="none" w:sz="0" w:space="0" w:color="auto"/>
        <w:left w:val="none" w:sz="0" w:space="0" w:color="auto"/>
        <w:bottom w:val="none" w:sz="0" w:space="0" w:color="auto"/>
        <w:right w:val="none" w:sz="0" w:space="0" w:color="auto"/>
      </w:divBdr>
    </w:div>
    <w:div w:id="465977148">
      <w:marLeft w:val="640"/>
      <w:marRight w:val="0"/>
      <w:marTop w:val="0"/>
      <w:marBottom w:val="0"/>
      <w:divBdr>
        <w:top w:val="none" w:sz="0" w:space="0" w:color="auto"/>
        <w:left w:val="none" w:sz="0" w:space="0" w:color="auto"/>
        <w:bottom w:val="none" w:sz="0" w:space="0" w:color="auto"/>
        <w:right w:val="none" w:sz="0" w:space="0" w:color="auto"/>
      </w:divBdr>
    </w:div>
    <w:div w:id="504831619">
      <w:marLeft w:val="640"/>
      <w:marRight w:val="0"/>
      <w:marTop w:val="0"/>
      <w:marBottom w:val="0"/>
      <w:divBdr>
        <w:top w:val="none" w:sz="0" w:space="0" w:color="auto"/>
        <w:left w:val="none" w:sz="0" w:space="0" w:color="auto"/>
        <w:bottom w:val="none" w:sz="0" w:space="0" w:color="auto"/>
        <w:right w:val="none" w:sz="0" w:space="0" w:color="auto"/>
      </w:divBdr>
    </w:div>
    <w:div w:id="511604699">
      <w:marLeft w:val="64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556402706">
      <w:marLeft w:val="640"/>
      <w:marRight w:val="0"/>
      <w:marTop w:val="0"/>
      <w:marBottom w:val="0"/>
      <w:divBdr>
        <w:top w:val="none" w:sz="0" w:space="0" w:color="auto"/>
        <w:left w:val="none" w:sz="0" w:space="0" w:color="auto"/>
        <w:bottom w:val="none" w:sz="0" w:space="0" w:color="auto"/>
        <w:right w:val="none" w:sz="0" w:space="0" w:color="auto"/>
      </w:divBdr>
    </w:div>
    <w:div w:id="578178912">
      <w:marLeft w:val="640"/>
      <w:marRight w:val="0"/>
      <w:marTop w:val="0"/>
      <w:marBottom w:val="0"/>
      <w:divBdr>
        <w:top w:val="none" w:sz="0" w:space="0" w:color="auto"/>
        <w:left w:val="none" w:sz="0" w:space="0" w:color="auto"/>
        <w:bottom w:val="none" w:sz="0" w:space="0" w:color="auto"/>
        <w:right w:val="none" w:sz="0" w:space="0" w:color="auto"/>
      </w:divBdr>
    </w:div>
    <w:div w:id="606930074">
      <w:marLeft w:val="640"/>
      <w:marRight w:val="0"/>
      <w:marTop w:val="0"/>
      <w:marBottom w:val="0"/>
      <w:divBdr>
        <w:top w:val="none" w:sz="0" w:space="0" w:color="auto"/>
        <w:left w:val="none" w:sz="0" w:space="0" w:color="auto"/>
        <w:bottom w:val="none" w:sz="0" w:space="0" w:color="auto"/>
        <w:right w:val="none" w:sz="0" w:space="0" w:color="auto"/>
      </w:divBdr>
    </w:div>
    <w:div w:id="638536358">
      <w:marLeft w:val="640"/>
      <w:marRight w:val="0"/>
      <w:marTop w:val="0"/>
      <w:marBottom w:val="0"/>
      <w:divBdr>
        <w:top w:val="none" w:sz="0" w:space="0" w:color="auto"/>
        <w:left w:val="none" w:sz="0" w:space="0" w:color="auto"/>
        <w:bottom w:val="none" w:sz="0" w:space="0" w:color="auto"/>
        <w:right w:val="none" w:sz="0" w:space="0" w:color="auto"/>
      </w:divBdr>
    </w:div>
    <w:div w:id="638920806">
      <w:marLeft w:val="480"/>
      <w:marRight w:val="0"/>
      <w:marTop w:val="0"/>
      <w:marBottom w:val="0"/>
      <w:divBdr>
        <w:top w:val="none" w:sz="0" w:space="0" w:color="auto"/>
        <w:left w:val="none" w:sz="0" w:space="0" w:color="auto"/>
        <w:bottom w:val="none" w:sz="0" w:space="0" w:color="auto"/>
        <w:right w:val="none" w:sz="0" w:space="0" w:color="auto"/>
      </w:divBdr>
    </w:div>
    <w:div w:id="656810541">
      <w:marLeft w:val="640"/>
      <w:marRight w:val="0"/>
      <w:marTop w:val="0"/>
      <w:marBottom w:val="0"/>
      <w:divBdr>
        <w:top w:val="none" w:sz="0" w:space="0" w:color="auto"/>
        <w:left w:val="none" w:sz="0" w:space="0" w:color="auto"/>
        <w:bottom w:val="none" w:sz="0" w:space="0" w:color="auto"/>
        <w:right w:val="none" w:sz="0" w:space="0" w:color="auto"/>
      </w:divBdr>
    </w:div>
    <w:div w:id="686445806">
      <w:marLeft w:val="640"/>
      <w:marRight w:val="0"/>
      <w:marTop w:val="0"/>
      <w:marBottom w:val="0"/>
      <w:divBdr>
        <w:top w:val="none" w:sz="0" w:space="0" w:color="auto"/>
        <w:left w:val="none" w:sz="0" w:space="0" w:color="auto"/>
        <w:bottom w:val="none" w:sz="0" w:space="0" w:color="auto"/>
        <w:right w:val="none" w:sz="0" w:space="0" w:color="auto"/>
      </w:divBdr>
    </w:div>
    <w:div w:id="712121487">
      <w:marLeft w:val="640"/>
      <w:marRight w:val="0"/>
      <w:marTop w:val="0"/>
      <w:marBottom w:val="0"/>
      <w:divBdr>
        <w:top w:val="none" w:sz="0" w:space="0" w:color="auto"/>
        <w:left w:val="none" w:sz="0" w:space="0" w:color="auto"/>
        <w:bottom w:val="none" w:sz="0" w:space="0" w:color="auto"/>
        <w:right w:val="none" w:sz="0" w:space="0" w:color="auto"/>
      </w:divBdr>
    </w:div>
    <w:div w:id="720135131">
      <w:marLeft w:val="640"/>
      <w:marRight w:val="0"/>
      <w:marTop w:val="0"/>
      <w:marBottom w:val="0"/>
      <w:divBdr>
        <w:top w:val="none" w:sz="0" w:space="0" w:color="auto"/>
        <w:left w:val="none" w:sz="0" w:space="0" w:color="auto"/>
        <w:bottom w:val="none" w:sz="0" w:space="0" w:color="auto"/>
        <w:right w:val="none" w:sz="0" w:space="0" w:color="auto"/>
      </w:divBdr>
    </w:div>
    <w:div w:id="728572520">
      <w:marLeft w:val="640"/>
      <w:marRight w:val="0"/>
      <w:marTop w:val="0"/>
      <w:marBottom w:val="0"/>
      <w:divBdr>
        <w:top w:val="none" w:sz="0" w:space="0" w:color="auto"/>
        <w:left w:val="none" w:sz="0" w:space="0" w:color="auto"/>
        <w:bottom w:val="none" w:sz="0" w:space="0" w:color="auto"/>
        <w:right w:val="none" w:sz="0" w:space="0" w:color="auto"/>
      </w:divBdr>
    </w:div>
    <w:div w:id="741609352">
      <w:marLeft w:val="640"/>
      <w:marRight w:val="0"/>
      <w:marTop w:val="0"/>
      <w:marBottom w:val="0"/>
      <w:divBdr>
        <w:top w:val="none" w:sz="0" w:space="0" w:color="auto"/>
        <w:left w:val="none" w:sz="0" w:space="0" w:color="auto"/>
        <w:bottom w:val="none" w:sz="0" w:space="0" w:color="auto"/>
        <w:right w:val="none" w:sz="0" w:space="0" w:color="auto"/>
      </w:divBdr>
    </w:div>
    <w:div w:id="804003714">
      <w:marLeft w:val="640"/>
      <w:marRight w:val="0"/>
      <w:marTop w:val="0"/>
      <w:marBottom w:val="0"/>
      <w:divBdr>
        <w:top w:val="none" w:sz="0" w:space="0" w:color="auto"/>
        <w:left w:val="none" w:sz="0" w:space="0" w:color="auto"/>
        <w:bottom w:val="none" w:sz="0" w:space="0" w:color="auto"/>
        <w:right w:val="none" w:sz="0" w:space="0" w:color="auto"/>
      </w:divBdr>
    </w:div>
    <w:div w:id="858934215">
      <w:marLeft w:val="640"/>
      <w:marRight w:val="0"/>
      <w:marTop w:val="0"/>
      <w:marBottom w:val="0"/>
      <w:divBdr>
        <w:top w:val="none" w:sz="0" w:space="0" w:color="auto"/>
        <w:left w:val="none" w:sz="0" w:space="0" w:color="auto"/>
        <w:bottom w:val="none" w:sz="0" w:space="0" w:color="auto"/>
        <w:right w:val="none" w:sz="0" w:space="0" w:color="auto"/>
      </w:divBdr>
    </w:div>
    <w:div w:id="890577917">
      <w:marLeft w:val="640"/>
      <w:marRight w:val="0"/>
      <w:marTop w:val="0"/>
      <w:marBottom w:val="0"/>
      <w:divBdr>
        <w:top w:val="none" w:sz="0" w:space="0" w:color="auto"/>
        <w:left w:val="none" w:sz="0" w:space="0" w:color="auto"/>
        <w:bottom w:val="none" w:sz="0" w:space="0" w:color="auto"/>
        <w:right w:val="none" w:sz="0" w:space="0" w:color="auto"/>
      </w:divBdr>
    </w:div>
    <w:div w:id="903106421">
      <w:marLeft w:val="640"/>
      <w:marRight w:val="0"/>
      <w:marTop w:val="0"/>
      <w:marBottom w:val="0"/>
      <w:divBdr>
        <w:top w:val="none" w:sz="0" w:space="0" w:color="auto"/>
        <w:left w:val="none" w:sz="0" w:space="0" w:color="auto"/>
        <w:bottom w:val="none" w:sz="0" w:space="0" w:color="auto"/>
        <w:right w:val="none" w:sz="0" w:space="0" w:color="auto"/>
      </w:divBdr>
    </w:div>
    <w:div w:id="903561458">
      <w:marLeft w:val="640"/>
      <w:marRight w:val="0"/>
      <w:marTop w:val="0"/>
      <w:marBottom w:val="0"/>
      <w:divBdr>
        <w:top w:val="none" w:sz="0" w:space="0" w:color="auto"/>
        <w:left w:val="none" w:sz="0" w:space="0" w:color="auto"/>
        <w:bottom w:val="none" w:sz="0" w:space="0" w:color="auto"/>
        <w:right w:val="none" w:sz="0" w:space="0" w:color="auto"/>
      </w:divBdr>
    </w:div>
    <w:div w:id="918296134">
      <w:marLeft w:val="640"/>
      <w:marRight w:val="0"/>
      <w:marTop w:val="0"/>
      <w:marBottom w:val="0"/>
      <w:divBdr>
        <w:top w:val="none" w:sz="0" w:space="0" w:color="auto"/>
        <w:left w:val="none" w:sz="0" w:space="0" w:color="auto"/>
        <w:bottom w:val="none" w:sz="0" w:space="0" w:color="auto"/>
        <w:right w:val="none" w:sz="0" w:space="0" w:color="auto"/>
      </w:divBdr>
    </w:div>
    <w:div w:id="934291994">
      <w:marLeft w:val="640"/>
      <w:marRight w:val="0"/>
      <w:marTop w:val="0"/>
      <w:marBottom w:val="0"/>
      <w:divBdr>
        <w:top w:val="none" w:sz="0" w:space="0" w:color="auto"/>
        <w:left w:val="none" w:sz="0" w:space="0" w:color="auto"/>
        <w:bottom w:val="none" w:sz="0" w:space="0" w:color="auto"/>
        <w:right w:val="none" w:sz="0" w:space="0" w:color="auto"/>
      </w:divBdr>
    </w:div>
    <w:div w:id="938415814">
      <w:marLeft w:val="640"/>
      <w:marRight w:val="0"/>
      <w:marTop w:val="0"/>
      <w:marBottom w:val="0"/>
      <w:divBdr>
        <w:top w:val="none" w:sz="0" w:space="0" w:color="auto"/>
        <w:left w:val="none" w:sz="0" w:space="0" w:color="auto"/>
        <w:bottom w:val="none" w:sz="0" w:space="0" w:color="auto"/>
        <w:right w:val="none" w:sz="0" w:space="0" w:color="auto"/>
      </w:divBdr>
    </w:div>
    <w:div w:id="940987072">
      <w:marLeft w:val="64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963585392">
      <w:marLeft w:val="640"/>
      <w:marRight w:val="0"/>
      <w:marTop w:val="0"/>
      <w:marBottom w:val="0"/>
      <w:divBdr>
        <w:top w:val="none" w:sz="0" w:space="0" w:color="auto"/>
        <w:left w:val="none" w:sz="0" w:space="0" w:color="auto"/>
        <w:bottom w:val="none" w:sz="0" w:space="0" w:color="auto"/>
        <w:right w:val="none" w:sz="0" w:space="0" w:color="auto"/>
      </w:divBdr>
    </w:div>
    <w:div w:id="971668679">
      <w:marLeft w:val="640"/>
      <w:marRight w:val="0"/>
      <w:marTop w:val="0"/>
      <w:marBottom w:val="0"/>
      <w:divBdr>
        <w:top w:val="none" w:sz="0" w:space="0" w:color="auto"/>
        <w:left w:val="none" w:sz="0" w:space="0" w:color="auto"/>
        <w:bottom w:val="none" w:sz="0" w:space="0" w:color="auto"/>
        <w:right w:val="none" w:sz="0" w:space="0" w:color="auto"/>
      </w:divBdr>
    </w:div>
    <w:div w:id="975110739">
      <w:marLeft w:val="640"/>
      <w:marRight w:val="0"/>
      <w:marTop w:val="0"/>
      <w:marBottom w:val="0"/>
      <w:divBdr>
        <w:top w:val="none" w:sz="0" w:space="0" w:color="auto"/>
        <w:left w:val="none" w:sz="0" w:space="0" w:color="auto"/>
        <w:bottom w:val="none" w:sz="0" w:space="0" w:color="auto"/>
        <w:right w:val="none" w:sz="0" w:space="0" w:color="auto"/>
      </w:divBdr>
    </w:div>
    <w:div w:id="993947542">
      <w:marLeft w:val="640"/>
      <w:marRight w:val="0"/>
      <w:marTop w:val="0"/>
      <w:marBottom w:val="0"/>
      <w:divBdr>
        <w:top w:val="none" w:sz="0" w:space="0" w:color="auto"/>
        <w:left w:val="none" w:sz="0" w:space="0" w:color="auto"/>
        <w:bottom w:val="none" w:sz="0" w:space="0" w:color="auto"/>
        <w:right w:val="none" w:sz="0" w:space="0" w:color="auto"/>
      </w:divBdr>
    </w:div>
    <w:div w:id="1005012354">
      <w:marLeft w:val="640"/>
      <w:marRight w:val="0"/>
      <w:marTop w:val="0"/>
      <w:marBottom w:val="0"/>
      <w:divBdr>
        <w:top w:val="none" w:sz="0" w:space="0" w:color="auto"/>
        <w:left w:val="none" w:sz="0" w:space="0" w:color="auto"/>
        <w:bottom w:val="none" w:sz="0" w:space="0" w:color="auto"/>
        <w:right w:val="none" w:sz="0" w:space="0" w:color="auto"/>
      </w:divBdr>
    </w:div>
    <w:div w:id="1010256064">
      <w:marLeft w:val="640"/>
      <w:marRight w:val="0"/>
      <w:marTop w:val="0"/>
      <w:marBottom w:val="0"/>
      <w:divBdr>
        <w:top w:val="none" w:sz="0" w:space="0" w:color="auto"/>
        <w:left w:val="none" w:sz="0" w:space="0" w:color="auto"/>
        <w:bottom w:val="none" w:sz="0" w:space="0" w:color="auto"/>
        <w:right w:val="none" w:sz="0" w:space="0" w:color="auto"/>
      </w:divBdr>
    </w:div>
    <w:div w:id="1029834674">
      <w:bodyDiv w:val="1"/>
      <w:marLeft w:val="0"/>
      <w:marRight w:val="0"/>
      <w:marTop w:val="0"/>
      <w:marBottom w:val="0"/>
      <w:divBdr>
        <w:top w:val="none" w:sz="0" w:space="0" w:color="auto"/>
        <w:left w:val="none" w:sz="0" w:space="0" w:color="auto"/>
        <w:bottom w:val="none" w:sz="0" w:space="0" w:color="auto"/>
        <w:right w:val="none" w:sz="0" w:space="0" w:color="auto"/>
      </w:divBdr>
    </w:div>
    <w:div w:id="1037000939">
      <w:marLeft w:val="640"/>
      <w:marRight w:val="0"/>
      <w:marTop w:val="0"/>
      <w:marBottom w:val="0"/>
      <w:divBdr>
        <w:top w:val="none" w:sz="0" w:space="0" w:color="auto"/>
        <w:left w:val="none" w:sz="0" w:space="0" w:color="auto"/>
        <w:bottom w:val="none" w:sz="0" w:space="0" w:color="auto"/>
        <w:right w:val="none" w:sz="0" w:space="0" w:color="auto"/>
      </w:divBdr>
    </w:div>
    <w:div w:id="1038049636">
      <w:marLeft w:val="640"/>
      <w:marRight w:val="0"/>
      <w:marTop w:val="0"/>
      <w:marBottom w:val="0"/>
      <w:divBdr>
        <w:top w:val="none" w:sz="0" w:space="0" w:color="auto"/>
        <w:left w:val="none" w:sz="0" w:space="0" w:color="auto"/>
        <w:bottom w:val="none" w:sz="0" w:space="0" w:color="auto"/>
        <w:right w:val="none" w:sz="0" w:space="0" w:color="auto"/>
      </w:divBdr>
    </w:div>
    <w:div w:id="1044674327">
      <w:bodyDiv w:val="1"/>
      <w:marLeft w:val="0"/>
      <w:marRight w:val="0"/>
      <w:marTop w:val="0"/>
      <w:marBottom w:val="0"/>
      <w:divBdr>
        <w:top w:val="none" w:sz="0" w:space="0" w:color="auto"/>
        <w:left w:val="none" w:sz="0" w:space="0" w:color="auto"/>
        <w:bottom w:val="none" w:sz="0" w:space="0" w:color="auto"/>
        <w:right w:val="none" w:sz="0" w:space="0" w:color="auto"/>
      </w:divBdr>
    </w:div>
    <w:div w:id="1070805153">
      <w:marLeft w:val="640"/>
      <w:marRight w:val="0"/>
      <w:marTop w:val="0"/>
      <w:marBottom w:val="0"/>
      <w:divBdr>
        <w:top w:val="none" w:sz="0" w:space="0" w:color="auto"/>
        <w:left w:val="none" w:sz="0" w:space="0" w:color="auto"/>
        <w:bottom w:val="none" w:sz="0" w:space="0" w:color="auto"/>
        <w:right w:val="none" w:sz="0" w:space="0" w:color="auto"/>
      </w:divBdr>
    </w:div>
    <w:div w:id="1079986764">
      <w:marLeft w:val="640"/>
      <w:marRight w:val="0"/>
      <w:marTop w:val="0"/>
      <w:marBottom w:val="0"/>
      <w:divBdr>
        <w:top w:val="none" w:sz="0" w:space="0" w:color="auto"/>
        <w:left w:val="none" w:sz="0" w:space="0" w:color="auto"/>
        <w:bottom w:val="none" w:sz="0" w:space="0" w:color="auto"/>
        <w:right w:val="none" w:sz="0" w:space="0" w:color="auto"/>
      </w:divBdr>
    </w:div>
    <w:div w:id="1085880943">
      <w:marLeft w:val="640"/>
      <w:marRight w:val="0"/>
      <w:marTop w:val="0"/>
      <w:marBottom w:val="0"/>
      <w:divBdr>
        <w:top w:val="none" w:sz="0" w:space="0" w:color="auto"/>
        <w:left w:val="none" w:sz="0" w:space="0" w:color="auto"/>
        <w:bottom w:val="none" w:sz="0" w:space="0" w:color="auto"/>
        <w:right w:val="none" w:sz="0" w:space="0" w:color="auto"/>
      </w:divBdr>
    </w:div>
    <w:div w:id="1111978153">
      <w:marLeft w:val="640"/>
      <w:marRight w:val="0"/>
      <w:marTop w:val="0"/>
      <w:marBottom w:val="0"/>
      <w:divBdr>
        <w:top w:val="none" w:sz="0" w:space="0" w:color="auto"/>
        <w:left w:val="none" w:sz="0" w:space="0" w:color="auto"/>
        <w:bottom w:val="none" w:sz="0" w:space="0" w:color="auto"/>
        <w:right w:val="none" w:sz="0" w:space="0" w:color="auto"/>
      </w:divBdr>
    </w:div>
    <w:div w:id="1115099443">
      <w:marLeft w:val="640"/>
      <w:marRight w:val="0"/>
      <w:marTop w:val="0"/>
      <w:marBottom w:val="0"/>
      <w:divBdr>
        <w:top w:val="none" w:sz="0" w:space="0" w:color="auto"/>
        <w:left w:val="none" w:sz="0" w:space="0" w:color="auto"/>
        <w:bottom w:val="none" w:sz="0" w:space="0" w:color="auto"/>
        <w:right w:val="none" w:sz="0" w:space="0" w:color="auto"/>
      </w:divBdr>
    </w:div>
    <w:div w:id="1128427210">
      <w:marLeft w:val="640"/>
      <w:marRight w:val="0"/>
      <w:marTop w:val="0"/>
      <w:marBottom w:val="0"/>
      <w:divBdr>
        <w:top w:val="none" w:sz="0" w:space="0" w:color="auto"/>
        <w:left w:val="none" w:sz="0" w:space="0" w:color="auto"/>
        <w:bottom w:val="none" w:sz="0" w:space="0" w:color="auto"/>
        <w:right w:val="none" w:sz="0" w:space="0" w:color="auto"/>
      </w:divBdr>
    </w:div>
    <w:div w:id="1130054570">
      <w:marLeft w:val="48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39105219">
      <w:bodyDiv w:val="1"/>
      <w:marLeft w:val="0"/>
      <w:marRight w:val="0"/>
      <w:marTop w:val="0"/>
      <w:marBottom w:val="0"/>
      <w:divBdr>
        <w:top w:val="none" w:sz="0" w:space="0" w:color="auto"/>
        <w:left w:val="none" w:sz="0" w:space="0" w:color="auto"/>
        <w:bottom w:val="none" w:sz="0" w:space="0" w:color="auto"/>
        <w:right w:val="none" w:sz="0" w:space="0" w:color="auto"/>
      </w:divBdr>
      <w:divsChild>
        <w:div w:id="987780111">
          <w:marLeft w:val="0"/>
          <w:marRight w:val="0"/>
          <w:marTop w:val="0"/>
          <w:marBottom w:val="0"/>
          <w:divBdr>
            <w:top w:val="none" w:sz="0" w:space="0" w:color="auto"/>
            <w:left w:val="none" w:sz="0" w:space="0" w:color="auto"/>
            <w:bottom w:val="none" w:sz="0" w:space="0" w:color="auto"/>
            <w:right w:val="none" w:sz="0" w:space="0" w:color="auto"/>
          </w:divBdr>
          <w:divsChild>
            <w:div w:id="1199973046">
              <w:marLeft w:val="0"/>
              <w:marRight w:val="0"/>
              <w:marTop w:val="0"/>
              <w:marBottom w:val="0"/>
              <w:divBdr>
                <w:top w:val="none" w:sz="0" w:space="0" w:color="auto"/>
                <w:left w:val="none" w:sz="0" w:space="0" w:color="auto"/>
                <w:bottom w:val="none" w:sz="0" w:space="0" w:color="auto"/>
                <w:right w:val="none" w:sz="0" w:space="0" w:color="auto"/>
              </w:divBdr>
              <w:divsChild>
                <w:div w:id="1115060674">
                  <w:marLeft w:val="0"/>
                  <w:marRight w:val="0"/>
                  <w:marTop w:val="180"/>
                  <w:marBottom w:val="240"/>
                  <w:divBdr>
                    <w:top w:val="none" w:sz="0" w:space="0" w:color="auto"/>
                    <w:left w:val="none" w:sz="0" w:space="0" w:color="auto"/>
                    <w:bottom w:val="none" w:sz="0" w:space="0" w:color="auto"/>
                    <w:right w:val="none" w:sz="0" w:space="0" w:color="auto"/>
                  </w:divBdr>
                </w:div>
                <w:div w:id="1126630353">
                  <w:marLeft w:val="0"/>
                  <w:marRight w:val="0"/>
                  <w:marTop w:val="180"/>
                  <w:marBottom w:val="240"/>
                  <w:divBdr>
                    <w:top w:val="none" w:sz="0" w:space="0" w:color="auto"/>
                    <w:left w:val="none" w:sz="0" w:space="0" w:color="auto"/>
                    <w:bottom w:val="none" w:sz="0" w:space="0" w:color="auto"/>
                    <w:right w:val="none" w:sz="0" w:space="0" w:color="auto"/>
                  </w:divBdr>
                </w:div>
                <w:div w:id="2139255631">
                  <w:marLeft w:val="0"/>
                  <w:marRight w:val="0"/>
                  <w:marTop w:val="180"/>
                  <w:marBottom w:val="240"/>
                  <w:divBdr>
                    <w:top w:val="none" w:sz="0" w:space="0" w:color="auto"/>
                    <w:left w:val="none" w:sz="0" w:space="0" w:color="auto"/>
                    <w:bottom w:val="none" w:sz="0" w:space="0" w:color="auto"/>
                    <w:right w:val="none" w:sz="0" w:space="0" w:color="auto"/>
                  </w:divBdr>
                </w:div>
                <w:div w:id="42364868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798797682">
          <w:marLeft w:val="0"/>
          <w:marRight w:val="0"/>
          <w:marTop w:val="0"/>
          <w:marBottom w:val="0"/>
          <w:divBdr>
            <w:top w:val="none" w:sz="0" w:space="0" w:color="auto"/>
            <w:left w:val="none" w:sz="0" w:space="0" w:color="auto"/>
            <w:bottom w:val="none" w:sz="0" w:space="0" w:color="auto"/>
            <w:right w:val="none" w:sz="0" w:space="0" w:color="auto"/>
          </w:divBdr>
          <w:divsChild>
            <w:div w:id="263848456">
              <w:marLeft w:val="0"/>
              <w:marRight w:val="0"/>
              <w:marTop w:val="0"/>
              <w:marBottom w:val="0"/>
              <w:divBdr>
                <w:top w:val="none" w:sz="0" w:space="0" w:color="auto"/>
                <w:left w:val="none" w:sz="0" w:space="0" w:color="auto"/>
                <w:bottom w:val="none" w:sz="0" w:space="0" w:color="auto"/>
                <w:right w:val="none" w:sz="0" w:space="0" w:color="auto"/>
              </w:divBdr>
              <w:divsChild>
                <w:div w:id="2062753598">
                  <w:marLeft w:val="0"/>
                  <w:marRight w:val="0"/>
                  <w:marTop w:val="0"/>
                  <w:marBottom w:val="0"/>
                  <w:divBdr>
                    <w:top w:val="none" w:sz="0" w:space="0" w:color="auto"/>
                    <w:left w:val="none" w:sz="0" w:space="0" w:color="auto"/>
                    <w:bottom w:val="none" w:sz="0" w:space="0" w:color="auto"/>
                    <w:right w:val="none" w:sz="0" w:space="0" w:color="auto"/>
                  </w:divBdr>
                  <w:divsChild>
                    <w:div w:id="456989514">
                      <w:marLeft w:val="0"/>
                      <w:marRight w:val="0"/>
                      <w:marTop w:val="0"/>
                      <w:marBottom w:val="0"/>
                      <w:divBdr>
                        <w:top w:val="none" w:sz="0" w:space="0" w:color="auto"/>
                        <w:left w:val="none" w:sz="0" w:space="0" w:color="auto"/>
                        <w:bottom w:val="none" w:sz="0" w:space="0" w:color="auto"/>
                        <w:right w:val="none" w:sz="0" w:space="0" w:color="auto"/>
                      </w:divBdr>
                      <w:divsChild>
                        <w:div w:id="1805611263">
                          <w:marLeft w:val="0"/>
                          <w:marRight w:val="0"/>
                          <w:marTop w:val="0"/>
                          <w:marBottom w:val="0"/>
                          <w:divBdr>
                            <w:top w:val="none" w:sz="0" w:space="0" w:color="auto"/>
                            <w:left w:val="none" w:sz="0" w:space="0" w:color="auto"/>
                            <w:bottom w:val="none" w:sz="0" w:space="0" w:color="auto"/>
                            <w:right w:val="none" w:sz="0" w:space="0" w:color="auto"/>
                          </w:divBdr>
                          <w:divsChild>
                            <w:div w:id="1723283776">
                              <w:marLeft w:val="0"/>
                              <w:marRight w:val="0"/>
                              <w:marTop w:val="0"/>
                              <w:marBottom w:val="0"/>
                              <w:divBdr>
                                <w:top w:val="none" w:sz="0" w:space="0" w:color="auto"/>
                                <w:left w:val="none" w:sz="0" w:space="0" w:color="auto"/>
                                <w:bottom w:val="none" w:sz="0" w:space="0" w:color="auto"/>
                                <w:right w:val="none" w:sz="0" w:space="0" w:color="auto"/>
                              </w:divBdr>
                            </w:div>
                          </w:divsChild>
                        </w:div>
                        <w:div w:id="1570505972">
                          <w:marLeft w:val="0"/>
                          <w:marRight w:val="0"/>
                          <w:marTop w:val="0"/>
                          <w:marBottom w:val="0"/>
                          <w:divBdr>
                            <w:top w:val="none" w:sz="0" w:space="0" w:color="auto"/>
                            <w:left w:val="none" w:sz="0" w:space="0" w:color="auto"/>
                            <w:bottom w:val="none" w:sz="0" w:space="0" w:color="auto"/>
                            <w:right w:val="none" w:sz="0" w:space="0" w:color="auto"/>
                          </w:divBdr>
                          <w:divsChild>
                            <w:div w:id="2024045696">
                              <w:marLeft w:val="0"/>
                              <w:marRight w:val="0"/>
                              <w:marTop w:val="0"/>
                              <w:marBottom w:val="0"/>
                              <w:divBdr>
                                <w:top w:val="none" w:sz="0" w:space="0" w:color="auto"/>
                                <w:left w:val="none" w:sz="0" w:space="0" w:color="auto"/>
                                <w:bottom w:val="none" w:sz="0" w:space="0" w:color="auto"/>
                                <w:right w:val="none" w:sz="0" w:space="0" w:color="auto"/>
                              </w:divBdr>
                              <w:divsChild>
                                <w:div w:id="646595526">
                                  <w:marLeft w:val="0"/>
                                  <w:marRight w:val="0"/>
                                  <w:marTop w:val="0"/>
                                  <w:marBottom w:val="0"/>
                                  <w:divBdr>
                                    <w:top w:val="none" w:sz="0" w:space="0" w:color="auto"/>
                                    <w:left w:val="none" w:sz="0" w:space="0" w:color="auto"/>
                                    <w:bottom w:val="none" w:sz="0" w:space="0" w:color="auto"/>
                                    <w:right w:val="none" w:sz="0" w:space="0" w:color="auto"/>
                                  </w:divBdr>
                                  <w:divsChild>
                                    <w:div w:id="557593717">
                                      <w:marLeft w:val="0"/>
                                      <w:marRight w:val="0"/>
                                      <w:marTop w:val="0"/>
                                      <w:marBottom w:val="0"/>
                                      <w:divBdr>
                                        <w:top w:val="none" w:sz="0" w:space="0" w:color="auto"/>
                                        <w:left w:val="none" w:sz="0" w:space="0" w:color="auto"/>
                                        <w:bottom w:val="none" w:sz="0" w:space="0" w:color="auto"/>
                                        <w:right w:val="none" w:sz="0" w:space="0" w:color="auto"/>
                                      </w:divBdr>
                                      <w:divsChild>
                                        <w:div w:id="1297762920">
                                          <w:marLeft w:val="0"/>
                                          <w:marRight w:val="0"/>
                                          <w:marTop w:val="0"/>
                                          <w:marBottom w:val="60"/>
                                          <w:divBdr>
                                            <w:top w:val="none" w:sz="0" w:space="0" w:color="auto"/>
                                            <w:left w:val="none" w:sz="0" w:space="0" w:color="auto"/>
                                            <w:bottom w:val="none" w:sz="0" w:space="0" w:color="auto"/>
                                            <w:right w:val="none" w:sz="0" w:space="0" w:color="auto"/>
                                          </w:divBdr>
                                        </w:div>
                                      </w:divsChild>
                                    </w:div>
                                    <w:div w:id="362219114">
                                      <w:marLeft w:val="0"/>
                                      <w:marRight w:val="0"/>
                                      <w:marTop w:val="0"/>
                                      <w:marBottom w:val="0"/>
                                      <w:divBdr>
                                        <w:top w:val="none" w:sz="0" w:space="0" w:color="auto"/>
                                        <w:left w:val="none" w:sz="0" w:space="0" w:color="auto"/>
                                        <w:bottom w:val="none" w:sz="0" w:space="0" w:color="auto"/>
                                        <w:right w:val="none" w:sz="0" w:space="0" w:color="auto"/>
                                      </w:divBdr>
                                    </w:div>
                                  </w:divsChild>
                                </w:div>
                                <w:div w:id="528762157">
                                  <w:marLeft w:val="0"/>
                                  <w:marRight w:val="0"/>
                                  <w:marTop w:val="0"/>
                                  <w:marBottom w:val="0"/>
                                  <w:divBdr>
                                    <w:top w:val="none" w:sz="0" w:space="0" w:color="auto"/>
                                    <w:left w:val="none" w:sz="0" w:space="0" w:color="auto"/>
                                    <w:bottom w:val="none" w:sz="0" w:space="0" w:color="auto"/>
                                    <w:right w:val="none" w:sz="0" w:space="0" w:color="auto"/>
                                  </w:divBdr>
                                  <w:divsChild>
                                    <w:div w:id="604113573">
                                      <w:marLeft w:val="0"/>
                                      <w:marRight w:val="0"/>
                                      <w:marTop w:val="0"/>
                                      <w:marBottom w:val="0"/>
                                      <w:divBdr>
                                        <w:top w:val="none" w:sz="0" w:space="0" w:color="auto"/>
                                        <w:left w:val="none" w:sz="0" w:space="0" w:color="auto"/>
                                        <w:bottom w:val="none" w:sz="0" w:space="0" w:color="auto"/>
                                        <w:right w:val="none" w:sz="0" w:space="0" w:color="auto"/>
                                      </w:divBdr>
                                      <w:divsChild>
                                        <w:div w:id="429400180">
                                          <w:marLeft w:val="0"/>
                                          <w:marRight w:val="0"/>
                                          <w:marTop w:val="0"/>
                                          <w:marBottom w:val="0"/>
                                          <w:divBdr>
                                            <w:top w:val="none" w:sz="0" w:space="0" w:color="auto"/>
                                            <w:left w:val="none" w:sz="0" w:space="0" w:color="auto"/>
                                            <w:bottom w:val="none" w:sz="0" w:space="0" w:color="auto"/>
                                            <w:right w:val="none" w:sz="0" w:space="0" w:color="auto"/>
                                          </w:divBdr>
                                        </w:div>
                                      </w:divsChild>
                                    </w:div>
                                    <w:div w:id="1968703342">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457582">
                          <w:marLeft w:val="0"/>
                          <w:marRight w:val="0"/>
                          <w:marTop w:val="0"/>
                          <w:marBottom w:val="0"/>
                          <w:divBdr>
                            <w:top w:val="none" w:sz="0" w:space="0" w:color="auto"/>
                            <w:left w:val="none" w:sz="0" w:space="0" w:color="auto"/>
                            <w:bottom w:val="none" w:sz="0" w:space="0" w:color="auto"/>
                            <w:right w:val="none" w:sz="0" w:space="0" w:color="auto"/>
                          </w:divBdr>
                          <w:divsChild>
                            <w:div w:id="1893275192">
                              <w:marLeft w:val="0"/>
                              <w:marRight w:val="0"/>
                              <w:marTop w:val="0"/>
                              <w:marBottom w:val="0"/>
                              <w:divBdr>
                                <w:top w:val="none" w:sz="0" w:space="0" w:color="auto"/>
                                <w:left w:val="none" w:sz="0" w:space="0" w:color="auto"/>
                                <w:bottom w:val="none" w:sz="0" w:space="0" w:color="auto"/>
                                <w:right w:val="none" w:sz="0" w:space="0" w:color="auto"/>
                              </w:divBdr>
                              <w:divsChild>
                                <w:div w:id="238104542">
                                  <w:marLeft w:val="0"/>
                                  <w:marRight w:val="0"/>
                                  <w:marTop w:val="0"/>
                                  <w:marBottom w:val="0"/>
                                  <w:divBdr>
                                    <w:top w:val="none" w:sz="0" w:space="0" w:color="auto"/>
                                    <w:left w:val="none" w:sz="0" w:space="0" w:color="auto"/>
                                    <w:bottom w:val="none" w:sz="0" w:space="0" w:color="auto"/>
                                    <w:right w:val="none" w:sz="0" w:space="0" w:color="auto"/>
                                  </w:divBdr>
                                  <w:divsChild>
                                    <w:div w:id="1370837033">
                                      <w:marLeft w:val="0"/>
                                      <w:marRight w:val="0"/>
                                      <w:marTop w:val="0"/>
                                      <w:marBottom w:val="0"/>
                                      <w:divBdr>
                                        <w:top w:val="none" w:sz="0" w:space="0" w:color="auto"/>
                                        <w:left w:val="none" w:sz="0" w:space="0" w:color="auto"/>
                                        <w:bottom w:val="none" w:sz="0" w:space="0" w:color="auto"/>
                                        <w:right w:val="none" w:sz="0" w:space="0" w:color="auto"/>
                                      </w:divBdr>
                                      <w:divsChild>
                                        <w:div w:id="206726407">
                                          <w:marLeft w:val="0"/>
                                          <w:marRight w:val="0"/>
                                          <w:marTop w:val="0"/>
                                          <w:marBottom w:val="60"/>
                                          <w:divBdr>
                                            <w:top w:val="none" w:sz="0" w:space="0" w:color="auto"/>
                                            <w:left w:val="none" w:sz="0" w:space="0" w:color="auto"/>
                                            <w:bottom w:val="none" w:sz="0" w:space="0" w:color="auto"/>
                                            <w:right w:val="none" w:sz="0" w:space="0" w:color="auto"/>
                                          </w:divBdr>
                                        </w:div>
                                      </w:divsChild>
                                    </w:div>
                                    <w:div w:id="1406873003">
                                      <w:marLeft w:val="0"/>
                                      <w:marRight w:val="0"/>
                                      <w:marTop w:val="0"/>
                                      <w:marBottom w:val="0"/>
                                      <w:divBdr>
                                        <w:top w:val="none" w:sz="0" w:space="0" w:color="auto"/>
                                        <w:left w:val="none" w:sz="0" w:space="0" w:color="auto"/>
                                        <w:bottom w:val="none" w:sz="0" w:space="0" w:color="auto"/>
                                        <w:right w:val="none" w:sz="0" w:space="0" w:color="auto"/>
                                      </w:divBdr>
                                    </w:div>
                                  </w:divsChild>
                                </w:div>
                                <w:div w:id="1201213294">
                                  <w:marLeft w:val="0"/>
                                  <w:marRight w:val="0"/>
                                  <w:marTop w:val="0"/>
                                  <w:marBottom w:val="0"/>
                                  <w:divBdr>
                                    <w:top w:val="none" w:sz="0" w:space="0" w:color="auto"/>
                                    <w:left w:val="none" w:sz="0" w:space="0" w:color="auto"/>
                                    <w:bottom w:val="none" w:sz="0" w:space="0" w:color="auto"/>
                                    <w:right w:val="none" w:sz="0" w:space="0" w:color="auto"/>
                                  </w:divBdr>
                                  <w:divsChild>
                                    <w:div w:id="1191071608">
                                      <w:marLeft w:val="0"/>
                                      <w:marRight w:val="0"/>
                                      <w:marTop w:val="0"/>
                                      <w:marBottom w:val="0"/>
                                      <w:divBdr>
                                        <w:top w:val="none" w:sz="0" w:space="0" w:color="auto"/>
                                        <w:left w:val="none" w:sz="0" w:space="0" w:color="auto"/>
                                        <w:bottom w:val="none" w:sz="0" w:space="0" w:color="auto"/>
                                        <w:right w:val="none" w:sz="0" w:space="0" w:color="auto"/>
                                      </w:divBdr>
                                      <w:divsChild>
                                        <w:div w:id="207318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251530">
      <w:marLeft w:val="640"/>
      <w:marRight w:val="0"/>
      <w:marTop w:val="0"/>
      <w:marBottom w:val="0"/>
      <w:divBdr>
        <w:top w:val="none" w:sz="0" w:space="0" w:color="auto"/>
        <w:left w:val="none" w:sz="0" w:space="0" w:color="auto"/>
        <w:bottom w:val="none" w:sz="0" w:space="0" w:color="auto"/>
        <w:right w:val="none" w:sz="0" w:space="0" w:color="auto"/>
      </w:divBdr>
    </w:div>
    <w:div w:id="1154563583">
      <w:marLeft w:val="480"/>
      <w:marRight w:val="0"/>
      <w:marTop w:val="0"/>
      <w:marBottom w:val="0"/>
      <w:divBdr>
        <w:top w:val="none" w:sz="0" w:space="0" w:color="auto"/>
        <w:left w:val="none" w:sz="0" w:space="0" w:color="auto"/>
        <w:bottom w:val="none" w:sz="0" w:space="0" w:color="auto"/>
        <w:right w:val="none" w:sz="0" w:space="0" w:color="auto"/>
      </w:divBdr>
    </w:div>
    <w:div w:id="1155410371">
      <w:marLeft w:val="640"/>
      <w:marRight w:val="0"/>
      <w:marTop w:val="0"/>
      <w:marBottom w:val="0"/>
      <w:divBdr>
        <w:top w:val="none" w:sz="0" w:space="0" w:color="auto"/>
        <w:left w:val="none" w:sz="0" w:space="0" w:color="auto"/>
        <w:bottom w:val="none" w:sz="0" w:space="0" w:color="auto"/>
        <w:right w:val="none" w:sz="0" w:space="0" w:color="auto"/>
      </w:divBdr>
    </w:div>
    <w:div w:id="1167405125">
      <w:marLeft w:val="640"/>
      <w:marRight w:val="0"/>
      <w:marTop w:val="0"/>
      <w:marBottom w:val="0"/>
      <w:divBdr>
        <w:top w:val="none" w:sz="0" w:space="0" w:color="auto"/>
        <w:left w:val="none" w:sz="0" w:space="0" w:color="auto"/>
        <w:bottom w:val="none" w:sz="0" w:space="0" w:color="auto"/>
        <w:right w:val="none" w:sz="0" w:space="0" w:color="auto"/>
      </w:divBdr>
    </w:div>
    <w:div w:id="1194735212">
      <w:marLeft w:val="640"/>
      <w:marRight w:val="0"/>
      <w:marTop w:val="0"/>
      <w:marBottom w:val="0"/>
      <w:divBdr>
        <w:top w:val="none" w:sz="0" w:space="0" w:color="auto"/>
        <w:left w:val="none" w:sz="0" w:space="0" w:color="auto"/>
        <w:bottom w:val="none" w:sz="0" w:space="0" w:color="auto"/>
        <w:right w:val="none" w:sz="0" w:space="0" w:color="auto"/>
      </w:divBdr>
    </w:div>
    <w:div w:id="1200126949">
      <w:marLeft w:val="640"/>
      <w:marRight w:val="0"/>
      <w:marTop w:val="0"/>
      <w:marBottom w:val="0"/>
      <w:divBdr>
        <w:top w:val="none" w:sz="0" w:space="0" w:color="auto"/>
        <w:left w:val="none" w:sz="0" w:space="0" w:color="auto"/>
        <w:bottom w:val="none" w:sz="0" w:space="0" w:color="auto"/>
        <w:right w:val="none" w:sz="0" w:space="0" w:color="auto"/>
      </w:divBdr>
    </w:div>
    <w:div w:id="1210534994">
      <w:marLeft w:val="640"/>
      <w:marRight w:val="0"/>
      <w:marTop w:val="0"/>
      <w:marBottom w:val="0"/>
      <w:divBdr>
        <w:top w:val="none" w:sz="0" w:space="0" w:color="auto"/>
        <w:left w:val="none" w:sz="0" w:space="0" w:color="auto"/>
        <w:bottom w:val="none" w:sz="0" w:space="0" w:color="auto"/>
        <w:right w:val="none" w:sz="0" w:space="0" w:color="auto"/>
      </w:divBdr>
    </w:div>
    <w:div w:id="1225137545">
      <w:marLeft w:val="640"/>
      <w:marRight w:val="0"/>
      <w:marTop w:val="0"/>
      <w:marBottom w:val="0"/>
      <w:divBdr>
        <w:top w:val="none" w:sz="0" w:space="0" w:color="auto"/>
        <w:left w:val="none" w:sz="0" w:space="0" w:color="auto"/>
        <w:bottom w:val="none" w:sz="0" w:space="0" w:color="auto"/>
        <w:right w:val="none" w:sz="0" w:space="0" w:color="auto"/>
      </w:divBdr>
    </w:div>
    <w:div w:id="1227032115">
      <w:marLeft w:val="640"/>
      <w:marRight w:val="0"/>
      <w:marTop w:val="0"/>
      <w:marBottom w:val="0"/>
      <w:divBdr>
        <w:top w:val="none" w:sz="0" w:space="0" w:color="auto"/>
        <w:left w:val="none" w:sz="0" w:space="0" w:color="auto"/>
        <w:bottom w:val="none" w:sz="0" w:space="0" w:color="auto"/>
        <w:right w:val="none" w:sz="0" w:space="0" w:color="auto"/>
      </w:divBdr>
    </w:div>
    <w:div w:id="1248349416">
      <w:marLeft w:val="640"/>
      <w:marRight w:val="0"/>
      <w:marTop w:val="0"/>
      <w:marBottom w:val="0"/>
      <w:divBdr>
        <w:top w:val="none" w:sz="0" w:space="0" w:color="auto"/>
        <w:left w:val="none" w:sz="0" w:space="0" w:color="auto"/>
        <w:bottom w:val="none" w:sz="0" w:space="0" w:color="auto"/>
        <w:right w:val="none" w:sz="0" w:space="0" w:color="auto"/>
      </w:divBdr>
    </w:div>
    <w:div w:id="125620851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277324959">
      <w:marLeft w:val="640"/>
      <w:marRight w:val="0"/>
      <w:marTop w:val="0"/>
      <w:marBottom w:val="0"/>
      <w:divBdr>
        <w:top w:val="none" w:sz="0" w:space="0" w:color="auto"/>
        <w:left w:val="none" w:sz="0" w:space="0" w:color="auto"/>
        <w:bottom w:val="none" w:sz="0" w:space="0" w:color="auto"/>
        <w:right w:val="none" w:sz="0" w:space="0" w:color="auto"/>
      </w:divBdr>
    </w:div>
    <w:div w:id="1290208864">
      <w:marLeft w:val="640"/>
      <w:marRight w:val="0"/>
      <w:marTop w:val="0"/>
      <w:marBottom w:val="0"/>
      <w:divBdr>
        <w:top w:val="none" w:sz="0" w:space="0" w:color="auto"/>
        <w:left w:val="none" w:sz="0" w:space="0" w:color="auto"/>
        <w:bottom w:val="none" w:sz="0" w:space="0" w:color="auto"/>
        <w:right w:val="none" w:sz="0" w:space="0" w:color="auto"/>
      </w:divBdr>
    </w:div>
    <w:div w:id="1294293949">
      <w:bodyDiv w:val="1"/>
      <w:marLeft w:val="0"/>
      <w:marRight w:val="0"/>
      <w:marTop w:val="0"/>
      <w:marBottom w:val="0"/>
      <w:divBdr>
        <w:top w:val="none" w:sz="0" w:space="0" w:color="auto"/>
        <w:left w:val="none" w:sz="0" w:space="0" w:color="auto"/>
        <w:bottom w:val="none" w:sz="0" w:space="0" w:color="auto"/>
        <w:right w:val="none" w:sz="0" w:space="0" w:color="auto"/>
      </w:divBdr>
    </w:div>
    <w:div w:id="1324507508">
      <w:marLeft w:val="640"/>
      <w:marRight w:val="0"/>
      <w:marTop w:val="0"/>
      <w:marBottom w:val="0"/>
      <w:divBdr>
        <w:top w:val="none" w:sz="0" w:space="0" w:color="auto"/>
        <w:left w:val="none" w:sz="0" w:space="0" w:color="auto"/>
        <w:bottom w:val="none" w:sz="0" w:space="0" w:color="auto"/>
        <w:right w:val="none" w:sz="0" w:space="0" w:color="auto"/>
      </w:divBdr>
    </w:div>
    <w:div w:id="1345984042">
      <w:bodyDiv w:val="1"/>
      <w:marLeft w:val="0"/>
      <w:marRight w:val="0"/>
      <w:marTop w:val="0"/>
      <w:marBottom w:val="0"/>
      <w:divBdr>
        <w:top w:val="none" w:sz="0" w:space="0" w:color="auto"/>
        <w:left w:val="none" w:sz="0" w:space="0" w:color="auto"/>
        <w:bottom w:val="none" w:sz="0" w:space="0" w:color="auto"/>
        <w:right w:val="none" w:sz="0" w:space="0" w:color="auto"/>
      </w:divBdr>
      <w:divsChild>
        <w:div w:id="49575860">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353914261">
              <w:marLeft w:val="0"/>
              <w:marRight w:val="0"/>
              <w:marTop w:val="180"/>
              <w:marBottom w:val="240"/>
              <w:divBdr>
                <w:top w:val="none" w:sz="0" w:space="0" w:color="auto"/>
                <w:left w:val="none" w:sz="0" w:space="0" w:color="auto"/>
                <w:bottom w:val="none" w:sz="0" w:space="0" w:color="auto"/>
                <w:right w:val="none" w:sz="0" w:space="0" w:color="auto"/>
              </w:divBdr>
            </w:div>
            <w:div w:id="940576445">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347630168">
      <w:marLeft w:val="640"/>
      <w:marRight w:val="0"/>
      <w:marTop w:val="0"/>
      <w:marBottom w:val="0"/>
      <w:divBdr>
        <w:top w:val="none" w:sz="0" w:space="0" w:color="auto"/>
        <w:left w:val="none" w:sz="0" w:space="0" w:color="auto"/>
        <w:bottom w:val="none" w:sz="0" w:space="0" w:color="auto"/>
        <w:right w:val="none" w:sz="0" w:space="0" w:color="auto"/>
      </w:divBdr>
    </w:div>
    <w:div w:id="1363941334">
      <w:marLeft w:val="640"/>
      <w:marRight w:val="0"/>
      <w:marTop w:val="0"/>
      <w:marBottom w:val="0"/>
      <w:divBdr>
        <w:top w:val="none" w:sz="0" w:space="0" w:color="auto"/>
        <w:left w:val="none" w:sz="0" w:space="0" w:color="auto"/>
        <w:bottom w:val="none" w:sz="0" w:space="0" w:color="auto"/>
        <w:right w:val="none" w:sz="0" w:space="0" w:color="auto"/>
      </w:divBdr>
    </w:div>
    <w:div w:id="1366908290">
      <w:bodyDiv w:val="1"/>
      <w:marLeft w:val="0"/>
      <w:marRight w:val="0"/>
      <w:marTop w:val="0"/>
      <w:marBottom w:val="0"/>
      <w:divBdr>
        <w:top w:val="none" w:sz="0" w:space="0" w:color="auto"/>
        <w:left w:val="none" w:sz="0" w:space="0" w:color="auto"/>
        <w:bottom w:val="none" w:sz="0" w:space="0" w:color="auto"/>
        <w:right w:val="none" w:sz="0" w:space="0" w:color="auto"/>
      </w:divBdr>
      <w:divsChild>
        <w:div w:id="1150438321">
          <w:marLeft w:val="0"/>
          <w:marRight w:val="0"/>
          <w:marTop w:val="180"/>
          <w:marBottom w:val="240"/>
          <w:divBdr>
            <w:top w:val="none" w:sz="0" w:space="0" w:color="auto"/>
            <w:left w:val="none" w:sz="0" w:space="0" w:color="auto"/>
            <w:bottom w:val="none" w:sz="0" w:space="0" w:color="auto"/>
            <w:right w:val="none" w:sz="0" w:space="0" w:color="auto"/>
          </w:divBdr>
        </w:div>
        <w:div w:id="1933971346">
          <w:marLeft w:val="0"/>
          <w:marRight w:val="0"/>
          <w:marTop w:val="180"/>
          <w:marBottom w:val="240"/>
          <w:divBdr>
            <w:top w:val="none" w:sz="0" w:space="0" w:color="auto"/>
            <w:left w:val="none" w:sz="0" w:space="0" w:color="auto"/>
            <w:bottom w:val="none" w:sz="0" w:space="0" w:color="auto"/>
            <w:right w:val="none" w:sz="0" w:space="0" w:color="auto"/>
          </w:divBdr>
        </w:div>
      </w:divsChild>
    </w:div>
    <w:div w:id="1382514401">
      <w:marLeft w:val="640"/>
      <w:marRight w:val="0"/>
      <w:marTop w:val="0"/>
      <w:marBottom w:val="0"/>
      <w:divBdr>
        <w:top w:val="none" w:sz="0" w:space="0" w:color="auto"/>
        <w:left w:val="none" w:sz="0" w:space="0" w:color="auto"/>
        <w:bottom w:val="none" w:sz="0" w:space="0" w:color="auto"/>
        <w:right w:val="none" w:sz="0" w:space="0" w:color="auto"/>
      </w:divBdr>
    </w:div>
    <w:div w:id="1384906891">
      <w:marLeft w:val="640"/>
      <w:marRight w:val="0"/>
      <w:marTop w:val="0"/>
      <w:marBottom w:val="0"/>
      <w:divBdr>
        <w:top w:val="none" w:sz="0" w:space="0" w:color="auto"/>
        <w:left w:val="none" w:sz="0" w:space="0" w:color="auto"/>
        <w:bottom w:val="none" w:sz="0" w:space="0" w:color="auto"/>
        <w:right w:val="none" w:sz="0" w:space="0" w:color="auto"/>
      </w:divBdr>
    </w:div>
    <w:div w:id="1399402526">
      <w:marLeft w:val="640"/>
      <w:marRight w:val="0"/>
      <w:marTop w:val="0"/>
      <w:marBottom w:val="0"/>
      <w:divBdr>
        <w:top w:val="none" w:sz="0" w:space="0" w:color="auto"/>
        <w:left w:val="none" w:sz="0" w:space="0" w:color="auto"/>
        <w:bottom w:val="none" w:sz="0" w:space="0" w:color="auto"/>
        <w:right w:val="none" w:sz="0" w:space="0" w:color="auto"/>
      </w:divBdr>
    </w:div>
    <w:div w:id="1412582943">
      <w:marLeft w:val="640"/>
      <w:marRight w:val="0"/>
      <w:marTop w:val="0"/>
      <w:marBottom w:val="0"/>
      <w:divBdr>
        <w:top w:val="none" w:sz="0" w:space="0" w:color="auto"/>
        <w:left w:val="none" w:sz="0" w:space="0" w:color="auto"/>
        <w:bottom w:val="none" w:sz="0" w:space="0" w:color="auto"/>
        <w:right w:val="none" w:sz="0" w:space="0" w:color="auto"/>
      </w:divBdr>
    </w:div>
    <w:div w:id="1423601988">
      <w:marLeft w:val="64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436293599">
      <w:marLeft w:val="640"/>
      <w:marRight w:val="0"/>
      <w:marTop w:val="0"/>
      <w:marBottom w:val="0"/>
      <w:divBdr>
        <w:top w:val="none" w:sz="0" w:space="0" w:color="auto"/>
        <w:left w:val="none" w:sz="0" w:space="0" w:color="auto"/>
        <w:bottom w:val="none" w:sz="0" w:space="0" w:color="auto"/>
        <w:right w:val="none" w:sz="0" w:space="0" w:color="auto"/>
      </w:divBdr>
    </w:div>
    <w:div w:id="1444619291">
      <w:bodyDiv w:val="1"/>
      <w:marLeft w:val="0"/>
      <w:marRight w:val="0"/>
      <w:marTop w:val="0"/>
      <w:marBottom w:val="0"/>
      <w:divBdr>
        <w:top w:val="none" w:sz="0" w:space="0" w:color="auto"/>
        <w:left w:val="none" w:sz="0" w:space="0" w:color="auto"/>
        <w:bottom w:val="none" w:sz="0" w:space="0" w:color="auto"/>
        <w:right w:val="none" w:sz="0" w:space="0" w:color="auto"/>
      </w:divBdr>
      <w:divsChild>
        <w:div w:id="425268001">
          <w:marLeft w:val="0"/>
          <w:marRight w:val="0"/>
          <w:marTop w:val="0"/>
          <w:marBottom w:val="0"/>
          <w:divBdr>
            <w:top w:val="none" w:sz="0" w:space="0" w:color="auto"/>
            <w:left w:val="none" w:sz="0" w:space="0" w:color="auto"/>
            <w:bottom w:val="none" w:sz="0" w:space="0" w:color="auto"/>
            <w:right w:val="none" w:sz="0" w:space="0" w:color="auto"/>
          </w:divBdr>
        </w:div>
        <w:div w:id="1697462714">
          <w:marLeft w:val="0"/>
          <w:marRight w:val="0"/>
          <w:marTop w:val="0"/>
          <w:marBottom w:val="0"/>
          <w:divBdr>
            <w:top w:val="none" w:sz="0" w:space="0" w:color="auto"/>
            <w:left w:val="none" w:sz="0" w:space="0" w:color="auto"/>
            <w:bottom w:val="none" w:sz="0" w:space="0" w:color="auto"/>
            <w:right w:val="none" w:sz="0" w:space="0" w:color="auto"/>
          </w:divBdr>
        </w:div>
        <w:div w:id="731781052">
          <w:marLeft w:val="0"/>
          <w:marRight w:val="0"/>
          <w:marTop w:val="0"/>
          <w:marBottom w:val="0"/>
          <w:divBdr>
            <w:top w:val="none" w:sz="0" w:space="0" w:color="auto"/>
            <w:left w:val="none" w:sz="0" w:space="0" w:color="auto"/>
            <w:bottom w:val="none" w:sz="0" w:space="0" w:color="auto"/>
            <w:right w:val="none" w:sz="0" w:space="0" w:color="auto"/>
          </w:divBdr>
        </w:div>
        <w:div w:id="148786118">
          <w:marLeft w:val="0"/>
          <w:marRight w:val="0"/>
          <w:marTop w:val="0"/>
          <w:marBottom w:val="0"/>
          <w:divBdr>
            <w:top w:val="none" w:sz="0" w:space="0" w:color="auto"/>
            <w:left w:val="none" w:sz="0" w:space="0" w:color="auto"/>
            <w:bottom w:val="none" w:sz="0" w:space="0" w:color="auto"/>
            <w:right w:val="none" w:sz="0" w:space="0" w:color="auto"/>
          </w:divBdr>
        </w:div>
        <w:div w:id="1988433454">
          <w:marLeft w:val="0"/>
          <w:marRight w:val="0"/>
          <w:marTop w:val="0"/>
          <w:marBottom w:val="0"/>
          <w:divBdr>
            <w:top w:val="none" w:sz="0" w:space="0" w:color="auto"/>
            <w:left w:val="none" w:sz="0" w:space="0" w:color="auto"/>
            <w:bottom w:val="none" w:sz="0" w:space="0" w:color="auto"/>
            <w:right w:val="none" w:sz="0" w:space="0" w:color="auto"/>
          </w:divBdr>
        </w:div>
        <w:div w:id="1624773008">
          <w:marLeft w:val="0"/>
          <w:marRight w:val="0"/>
          <w:marTop w:val="0"/>
          <w:marBottom w:val="0"/>
          <w:divBdr>
            <w:top w:val="none" w:sz="0" w:space="0" w:color="auto"/>
            <w:left w:val="none" w:sz="0" w:space="0" w:color="auto"/>
            <w:bottom w:val="none" w:sz="0" w:space="0" w:color="auto"/>
            <w:right w:val="none" w:sz="0" w:space="0" w:color="auto"/>
          </w:divBdr>
        </w:div>
        <w:div w:id="1314526367">
          <w:marLeft w:val="0"/>
          <w:marRight w:val="0"/>
          <w:marTop w:val="0"/>
          <w:marBottom w:val="0"/>
          <w:divBdr>
            <w:top w:val="none" w:sz="0" w:space="0" w:color="auto"/>
            <w:left w:val="none" w:sz="0" w:space="0" w:color="auto"/>
            <w:bottom w:val="none" w:sz="0" w:space="0" w:color="auto"/>
            <w:right w:val="none" w:sz="0" w:space="0" w:color="auto"/>
          </w:divBdr>
        </w:div>
        <w:div w:id="697396360">
          <w:marLeft w:val="0"/>
          <w:marRight w:val="0"/>
          <w:marTop w:val="0"/>
          <w:marBottom w:val="0"/>
          <w:divBdr>
            <w:top w:val="none" w:sz="0" w:space="0" w:color="auto"/>
            <w:left w:val="none" w:sz="0" w:space="0" w:color="auto"/>
            <w:bottom w:val="none" w:sz="0" w:space="0" w:color="auto"/>
            <w:right w:val="none" w:sz="0" w:space="0" w:color="auto"/>
          </w:divBdr>
        </w:div>
        <w:div w:id="1142189064">
          <w:marLeft w:val="0"/>
          <w:marRight w:val="0"/>
          <w:marTop w:val="0"/>
          <w:marBottom w:val="0"/>
          <w:divBdr>
            <w:top w:val="none" w:sz="0" w:space="0" w:color="auto"/>
            <w:left w:val="none" w:sz="0" w:space="0" w:color="auto"/>
            <w:bottom w:val="none" w:sz="0" w:space="0" w:color="auto"/>
            <w:right w:val="none" w:sz="0" w:space="0" w:color="auto"/>
          </w:divBdr>
        </w:div>
        <w:div w:id="611204907">
          <w:marLeft w:val="0"/>
          <w:marRight w:val="0"/>
          <w:marTop w:val="0"/>
          <w:marBottom w:val="0"/>
          <w:divBdr>
            <w:top w:val="none" w:sz="0" w:space="0" w:color="auto"/>
            <w:left w:val="none" w:sz="0" w:space="0" w:color="auto"/>
            <w:bottom w:val="none" w:sz="0" w:space="0" w:color="auto"/>
            <w:right w:val="none" w:sz="0" w:space="0" w:color="auto"/>
          </w:divBdr>
        </w:div>
        <w:div w:id="1880429939">
          <w:marLeft w:val="0"/>
          <w:marRight w:val="0"/>
          <w:marTop w:val="0"/>
          <w:marBottom w:val="0"/>
          <w:divBdr>
            <w:top w:val="none" w:sz="0" w:space="0" w:color="auto"/>
            <w:left w:val="none" w:sz="0" w:space="0" w:color="auto"/>
            <w:bottom w:val="none" w:sz="0" w:space="0" w:color="auto"/>
            <w:right w:val="none" w:sz="0" w:space="0" w:color="auto"/>
          </w:divBdr>
        </w:div>
        <w:div w:id="1916430541">
          <w:marLeft w:val="0"/>
          <w:marRight w:val="0"/>
          <w:marTop w:val="0"/>
          <w:marBottom w:val="0"/>
          <w:divBdr>
            <w:top w:val="none" w:sz="0" w:space="0" w:color="auto"/>
            <w:left w:val="none" w:sz="0" w:space="0" w:color="auto"/>
            <w:bottom w:val="none" w:sz="0" w:space="0" w:color="auto"/>
            <w:right w:val="none" w:sz="0" w:space="0" w:color="auto"/>
          </w:divBdr>
        </w:div>
        <w:div w:id="564724819">
          <w:marLeft w:val="0"/>
          <w:marRight w:val="0"/>
          <w:marTop w:val="0"/>
          <w:marBottom w:val="0"/>
          <w:divBdr>
            <w:top w:val="none" w:sz="0" w:space="0" w:color="auto"/>
            <w:left w:val="none" w:sz="0" w:space="0" w:color="auto"/>
            <w:bottom w:val="none" w:sz="0" w:space="0" w:color="auto"/>
            <w:right w:val="none" w:sz="0" w:space="0" w:color="auto"/>
          </w:divBdr>
        </w:div>
        <w:div w:id="1783265673">
          <w:marLeft w:val="0"/>
          <w:marRight w:val="0"/>
          <w:marTop w:val="0"/>
          <w:marBottom w:val="0"/>
          <w:divBdr>
            <w:top w:val="none" w:sz="0" w:space="0" w:color="auto"/>
            <w:left w:val="none" w:sz="0" w:space="0" w:color="auto"/>
            <w:bottom w:val="none" w:sz="0" w:space="0" w:color="auto"/>
            <w:right w:val="none" w:sz="0" w:space="0" w:color="auto"/>
          </w:divBdr>
        </w:div>
        <w:div w:id="856768651">
          <w:marLeft w:val="0"/>
          <w:marRight w:val="0"/>
          <w:marTop w:val="0"/>
          <w:marBottom w:val="0"/>
          <w:divBdr>
            <w:top w:val="none" w:sz="0" w:space="0" w:color="auto"/>
            <w:left w:val="none" w:sz="0" w:space="0" w:color="auto"/>
            <w:bottom w:val="none" w:sz="0" w:space="0" w:color="auto"/>
            <w:right w:val="none" w:sz="0" w:space="0" w:color="auto"/>
          </w:divBdr>
        </w:div>
        <w:div w:id="779494685">
          <w:marLeft w:val="0"/>
          <w:marRight w:val="0"/>
          <w:marTop w:val="0"/>
          <w:marBottom w:val="0"/>
          <w:divBdr>
            <w:top w:val="none" w:sz="0" w:space="0" w:color="auto"/>
            <w:left w:val="none" w:sz="0" w:space="0" w:color="auto"/>
            <w:bottom w:val="none" w:sz="0" w:space="0" w:color="auto"/>
            <w:right w:val="none" w:sz="0" w:space="0" w:color="auto"/>
          </w:divBdr>
        </w:div>
        <w:div w:id="1617443821">
          <w:marLeft w:val="0"/>
          <w:marRight w:val="0"/>
          <w:marTop w:val="0"/>
          <w:marBottom w:val="0"/>
          <w:divBdr>
            <w:top w:val="none" w:sz="0" w:space="0" w:color="auto"/>
            <w:left w:val="none" w:sz="0" w:space="0" w:color="auto"/>
            <w:bottom w:val="none" w:sz="0" w:space="0" w:color="auto"/>
            <w:right w:val="none" w:sz="0" w:space="0" w:color="auto"/>
          </w:divBdr>
        </w:div>
        <w:div w:id="471603220">
          <w:marLeft w:val="0"/>
          <w:marRight w:val="0"/>
          <w:marTop w:val="0"/>
          <w:marBottom w:val="0"/>
          <w:divBdr>
            <w:top w:val="none" w:sz="0" w:space="0" w:color="auto"/>
            <w:left w:val="none" w:sz="0" w:space="0" w:color="auto"/>
            <w:bottom w:val="none" w:sz="0" w:space="0" w:color="auto"/>
            <w:right w:val="none" w:sz="0" w:space="0" w:color="auto"/>
          </w:divBdr>
        </w:div>
        <w:div w:id="1472600772">
          <w:marLeft w:val="0"/>
          <w:marRight w:val="0"/>
          <w:marTop w:val="0"/>
          <w:marBottom w:val="0"/>
          <w:divBdr>
            <w:top w:val="none" w:sz="0" w:space="0" w:color="auto"/>
            <w:left w:val="none" w:sz="0" w:space="0" w:color="auto"/>
            <w:bottom w:val="none" w:sz="0" w:space="0" w:color="auto"/>
            <w:right w:val="none" w:sz="0" w:space="0" w:color="auto"/>
          </w:divBdr>
        </w:div>
        <w:div w:id="1312707902">
          <w:marLeft w:val="0"/>
          <w:marRight w:val="0"/>
          <w:marTop w:val="0"/>
          <w:marBottom w:val="0"/>
          <w:divBdr>
            <w:top w:val="none" w:sz="0" w:space="0" w:color="auto"/>
            <w:left w:val="none" w:sz="0" w:space="0" w:color="auto"/>
            <w:bottom w:val="none" w:sz="0" w:space="0" w:color="auto"/>
            <w:right w:val="none" w:sz="0" w:space="0" w:color="auto"/>
          </w:divBdr>
        </w:div>
      </w:divsChild>
    </w:div>
    <w:div w:id="1463160190">
      <w:marLeft w:val="480"/>
      <w:marRight w:val="0"/>
      <w:marTop w:val="0"/>
      <w:marBottom w:val="0"/>
      <w:divBdr>
        <w:top w:val="none" w:sz="0" w:space="0" w:color="auto"/>
        <w:left w:val="none" w:sz="0" w:space="0" w:color="auto"/>
        <w:bottom w:val="none" w:sz="0" w:space="0" w:color="auto"/>
        <w:right w:val="none" w:sz="0" w:space="0" w:color="auto"/>
      </w:divBdr>
    </w:div>
    <w:div w:id="1467160281">
      <w:marLeft w:val="480"/>
      <w:marRight w:val="0"/>
      <w:marTop w:val="0"/>
      <w:marBottom w:val="0"/>
      <w:divBdr>
        <w:top w:val="none" w:sz="0" w:space="0" w:color="auto"/>
        <w:left w:val="none" w:sz="0" w:space="0" w:color="auto"/>
        <w:bottom w:val="none" w:sz="0" w:space="0" w:color="auto"/>
        <w:right w:val="none" w:sz="0" w:space="0" w:color="auto"/>
      </w:divBdr>
    </w:div>
    <w:div w:id="1470201386">
      <w:marLeft w:val="640"/>
      <w:marRight w:val="0"/>
      <w:marTop w:val="0"/>
      <w:marBottom w:val="0"/>
      <w:divBdr>
        <w:top w:val="none" w:sz="0" w:space="0" w:color="auto"/>
        <w:left w:val="none" w:sz="0" w:space="0" w:color="auto"/>
        <w:bottom w:val="none" w:sz="0" w:space="0" w:color="auto"/>
        <w:right w:val="none" w:sz="0" w:space="0" w:color="auto"/>
      </w:divBdr>
    </w:div>
    <w:div w:id="1479225473">
      <w:marLeft w:val="640"/>
      <w:marRight w:val="0"/>
      <w:marTop w:val="0"/>
      <w:marBottom w:val="0"/>
      <w:divBdr>
        <w:top w:val="none" w:sz="0" w:space="0" w:color="auto"/>
        <w:left w:val="none" w:sz="0" w:space="0" w:color="auto"/>
        <w:bottom w:val="none" w:sz="0" w:space="0" w:color="auto"/>
        <w:right w:val="none" w:sz="0" w:space="0" w:color="auto"/>
      </w:divBdr>
    </w:div>
    <w:div w:id="1483040099">
      <w:marLeft w:val="640"/>
      <w:marRight w:val="0"/>
      <w:marTop w:val="0"/>
      <w:marBottom w:val="0"/>
      <w:divBdr>
        <w:top w:val="none" w:sz="0" w:space="0" w:color="auto"/>
        <w:left w:val="none" w:sz="0" w:space="0" w:color="auto"/>
        <w:bottom w:val="none" w:sz="0" w:space="0" w:color="auto"/>
        <w:right w:val="none" w:sz="0" w:space="0" w:color="auto"/>
      </w:divBdr>
    </w:div>
    <w:div w:id="1496610079">
      <w:marLeft w:val="640"/>
      <w:marRight w:val="0"/>
      <w:marTop w:val="0"/>
      <w:marBottom w:val="0"/>
      <w:divBdr>
        <w:top w:val="none" w:sz="0" w:space="0" w:color="auto"/>
        <w:left w:val="none" w:sz="0" w:space="0" w:color="auto"/>
        <w:bottom w:val="none" w:sz="0" w:space="0" w:color="auto"/>
        <w:right w:val="none" w:sz="0" w:space="0" w:color="auto"/>
      </w:divBdr>
    </w:div>
    <w:div w:id="1545747583">
      <w:marLeft w:val="640"/>
      <w:marRight w:val="0"/>
      <w:marTop w:val="0"/>
      <w:marBottom w:val="0"/>
      <w:divBdr>
        <w:top w:val="none" w:sz="0" w:space="0" w:color="auto"/>
        <w:left w:val="none" w:sz="0" w:space="0" w:color="auto"/>
        <w:bottom w:val="none" w:sz="0" w:space="0" w:color="auto"/>
        <w:right w:val="none" w:sz="0" w:space="0" w:color="auto"/>
      </w:divBdr>
    </w:div>
    <w:div w:id="1553351028">
      <w:marLeft w:val="640"/>
      <w:marRight w:val="0"/>
      <w:marTop w:val="0"/>
      <w:marBottom w:val="0"/>
      <w:divBdr>
        <w:top w:val="none" w:sz="0" w:space="0" w:color="auto"/>
        <w:left w:val="none" w:sz="0" w:space="0" w:color="auto"/>
        <w:bottom w:val="none" w:sz="0" w:space="0" w:color="auto"/>
        <w:right w:val="none" w:sz="0" w:space="0" w:color="auto"/>
      </w:divBdr>
    </w:div>
    <w:div w:id="1613898764">
      <w:marLeft w:val="640"/>
      <w:marRight w:val="0"/>
      <w:marTop w:val="0"/>
      <w:marBottom w:val="0"/>
      <w:divBdr>
        <w:top w:val="none" w:sz="0" w:space="0" w:color="auto"/>
        <w:left w:val="none" w:sz="0" w:space="0" w:color="auto"/>
        <w:bottom w:val="none" w:sz="0" w:space="0" w:color="auto"/>
        <w:right w:val="none" w:sz="0" w:space="0" w:color="auto"/>
      </w:divBdr>
    </w:div>
    <w:div w:id="1654679309">
      <w:marLeft w:val="640"/>
      <w:marRight w:val="0"/>
      <w:marTop w:val="0"/>
      <w:marBottom w:val="0"/>
      <w:divBdr>
        <w:top w:val="none" w:sz="0" w:space="0" w:color="auto"/>
        <w:left w:val="none" w:sz="0" w:space="0" w:color="auto"/>
        <w:bottom w:val="none" w:sz="0" w:space="0" w:color="auto"/>
        <w:right w:val="none" w:sz="0" w:space="0" w:color="auto"/>
      </w:divBdr>
    </w:div>
    <w:div w:id="1663893981">
      <w:marLeft w:val="640"/>
      <w:marRight w:val="0"/>
      <w:marTop w:val="0"/>
      <w:marBottom w:val="0"/>
      <w:divBdr>
        <w:top w:val="none" w:sz="0" w:space="0" w:color="auto"/>
        <w:left w:val="none" w:sz="0" w:space="0" w:color="auto"/>
        <w:bottom w:val="none" w:sz="0" w:space="0" w:color="auto"/>
        <w:right w:val="none" w:sz="0" w:space="0" w:color="auto"/>
      </w:divBdr>
    </w:div>
    <w:div w:id="1683897058">
      <w:marLeft w:val="640"/>
      <w:marRight w:val="0"/>
      <w:marTop w:val="0"/>
      <w:marBottom w:val="0"/>
      <w:divBdr>
        <w:top w:val="none" w:sz="0" w:space="0" w:color="auto"/>
        <w:left w:val="none" w:sz="0" w:space="0" w:color="auto"/>
        <w:bottom w:val="none" w:sz="0" w:space="0" w:color="auto"/>
        <w:right w:val="none" w:sz="0" w:space="0" w:color="auto"/>
      </w:divBdr>
    </w:div>
    <w:div w:id="1693219214">
      <w:marLeft w:val="640"/>
      <w:marRight w:val="0"/>
      <w:marTop w:val="0"/>
      <w:marBottom w:val="0"/>
      <w:divBdr>
        <w:top w:val="none" w:sz="0" w:space="0" w:color="auto"/>
        <w:left w:val="none" w:sz="0" w:space="0" w:color="auto"/>
        <w:bottom w:val="none" w:sz="0" w:space="0" w:color="auto"/>
        <w:right w:val="none" w:sz="0" w:space="0" w:color="auto"/>
      </w:divBdr>
    </w:div>
    <w:div w:id="1722167698">
      <w:marLeft w:val="640"/>
      <w:marRight w:val="0"/>
      <w:marTop w:val="0"/>
      <w:marBottom w:val="0"/>
      <w:divBdr>
        <w:top w:val="none" w:sz="0" w:space="0" w:color="auto"/>
        <w:left w:val="none" w:sz="0" w:space="0" w:color="auto"/>
        <w:bottom w:val="none" w:sz="0" w:space="0" w:color="auto"/>
        <w:right w:val="none" w:sz="0" w:space="0" w:color="auto"/>
      </w:divBdr>
    </w:div>
    <w:div w:id="1729841277">
      <w:marLeft w:val="640"/>
      <w:marRight w:val="0"/>
      <w:marTop w:val="0"/>
      <w:marBottom w:val="0"/>
      <w:divBdr>
        <w:top w:val="none" w:sz="0" w:space="0" w:color="auto"/>
        <w:left w:val="none" w:sz="0" w:space="0" w:color="auto"/>
        <w:bottom w:val="none" w:sz="0" w:space="0" w:color="auto"/>
        <w:right w:val="none" w:sz="0" w:space="0" w:color="auto"/>
      </w:divBdr>
    </w:div>
    <w:div w:id="1749576745">
      <w:marLeft w:val="640"/>
      <w:marRight w:val="0"/>
      <w:marTop w:val="0"/>
      <w:marBottom w:val="0"/>
      <w:divBdr>
        <w:top w:val="none" w:sz="0" w:space="0" w:color="auto"/>
        <w:left w:val="none" w:sz="0" w:space="0" w:color="auto"/>
        <w:bottom w:val="none" w:sz="0" w:space="0" w:color="auto"/>
        <w:right w:val="none" w:sz="0" w:space="0" w:color="auto"/>
      </w:divBdr>
    </w:div>
    <w:div w:id="1768692759">
      <w:marLeft w:val="640"/>
      <w:marRight w:val="0"/>
      <w:marTop w:val="0"/>
      <w:marBottom w:val="0"/>
      <w:divBdr>
        <w:top w:val="none" w:sz="0" w:space="0" w:color="auto"/>
        <w:left w:val="none" w:sz="0" w:space="0" w:color="auto"/>
        <w:bottom w:val="none" w:sz="0" w:space="0" w:color="auto"/>
        <w:right w:val="none" w:sz="0" w:space="0" w:color="auto"/>
      </w:divBdr>
    </w:div>
    <w:div w:id="1775518350">
      <w:marLeft w:val="640"/>
      <w:marRight w:val="0"/>
      <w:marTop w:val="0"/>
      <w:marBottom w:val="0"/>
      <w:divBdr>
        <w:top w:val="none" w:sz="0" w:space="0" w:color="auto"/>
        <w:left w:val="none" w:sz="0" w:space="0" w:color="auto"/>
        <w:bottom w:val="none" w:sz="0" w:space="0" w:color="auto"/>
        <w:right w:val="none" w:sz="0" w:space="0" w:color="auto"/>
      </w:divBdr>
    </w:div>
    <w:div w:id="1779641283">
      <w:marLeft w:val="640"/>
      <w:marRight w:val="0"/>
      <w:marTop w:val="0"/>
      <w:marBottom w:val="0"/>
      <w:divBdr>
        <w:top w:val="none" w:sz="0" w:space="0" w:color="auto"/>
        <w:left w:val="none" w:sz="0" w:space="0" w:color="auto"/>
        <w:bottom w:val="none" w:sz="0" w:space="0" w:color="auto"/>
        <w:right w:val="none" w:sz="0" w:space="0" w:color="auto"/>
      </w:divBdr>
    </w:div>
    <w:div w:id="1829981011">
      <w:marLeft w:val="640"/>
      <w:marRight w:val="0"/>
      <w:marTop w:val="0"/>
      <w:marBottom w:val="0"/>
      <w:divBdr>
        <w:top w:val="none" w:sz="0" w:space="0" w:color="auto"/>
        <w:left w:val="none" w:sz="0" w:space="0" w:color="auto"/>
        <w:bottom w:val="none" w:sz="0" w:space="0" w:color="auto"/>
        <w:right w:val="none" w:sz="0" w:space="0" w:color="auto"/>
      </w:divBdr>
    </w:div>
    <w:div w:id="1835678988">
      <w:marLeft w:val="640"/>
      <w:marRight w:val="0"/>
      <w:marTop w:val="0"/>
      <w:marBottom w:val="0"/>
      <w:divBdr>
        <w:top w:val="none" w:sz="0" w:space="0" w:color="auto"/>
        <w:left w:val="none" w:sz="0" w:space="0" w:color="auto"/>
        <w:bottom w:val="none" w:sz="0" w:space="0" w:color="auto"/>
        <w:right w:val="none" w:sz="0" w:space="0" w:color="auto"/>
      </w:divBdr>
    </w:div>
    <w:div w:id="1839728772">
      <w:marLeft w:val="640"/>
      <w:marRight w:val="0"/>
      <w:marTop w:val="0"/>
      <w:marBottom w:val="0"/>
      <w:divBdr>
        <w:top w:val="none" w:sz="0" w:space="0" w:color="auto"/>
        <w:left w:val="none" w:sz="0" w:space="0" w:color="auto"/>
        <w:bottom w:val="none" w:sz="0" w:space="0" w:color="auto"/>
        <w:right w:val="none" w:sz="0" w:space="0" w:color="auto"/>
      </w:divBdr>
    </w:div>
    <w:div w:id="1883009378">
      <w:marLeft w:val="640"/>
      <w:marRight w:val="0"/>
      <w:marTop w:val="0"/>
      <w:marBottom w:val="0"/>
      <w:divBdr>
        <w:top w:val="none" w:sz="0" w:space="0" w:color="auto"/>
        <w:left w:val="none" w:sz="0" w:space="0" w:color="auto"/>
        <w:bottom w:val="none" w:sz="0" w:space="0" w:color="auto"/>
        <w:right w:val="none" w:sz="0" w:space="0" w:color="auto"/>
      </w:divBdr>
    </w:div>
    <w:div w:id="1886328746">
      <w:marLeft w:val="640"/>
      <w:marRight w:val="0"/>
      <w:marTop w:val="0"/>
      <w:marBottom w:val="0"/>
      <w:divBdr>
        <w:top w:val="none" w:sz="0" w:space="0" w:color="auto"/>
        <w:left w:val="none" w:sz="0" w:space="0" w:color="auto"/>
        <w:bottom w:val="none" w:sz="0" w:space="0" w:color="auto"/>
        <w:right w:val="none" w:sz="0" w:space="0" w:color="auto"/>
      </w:divBdr>
    </w:div>
    <w:div w:id="1896819103">
      <w:marLeft w:val="640"/>
      <w:marRight w:val="0"/>
      <w:marTop w:val="0"/>
      <w:marBottom w:val="0"/>
      <w:divBdr>
        <w:top w:val="none" w:sz="0" w:space="0" w:color="auto"/>
        <w:left w:val="none" w:sz="0" w:space="0" w:color="auto"/>
        <w:bottom w:val="none" w:sz="0" w:space="0" w:color="auto"/>
        <w:right w:val="none" w:sz="0" w:space="0" w:color="auto"/>
      </w:divBdr>
    </w:div>
    <w:div w:id="1901789769">
      <w:marLeft w:val="480"/>
      <w:marRight w:val="0"/>
      <w:marTop w:val="0"/>
      <w:marBottom w:val="0"/>
      <w:divBdr>
        <w:top w:val="none" w:sz="0" w:space="0" w:color="auto"/>
        <w:left w:val="none" w:sz="0" w:space="0" w:color="auto"/>
        <w:bottom w:val="none" w:sz="0" w:space="0" w:color="auto"/>
        <w:right w:val="none" w:sz="0" w:space="0" w:color="auto"/>
      </w:divBdr>
    </w:div>
    <w:div w:id="1903251358">
      <w:marLeft w:val="480"/>
      <w:marRight w:val="0"/>
      <w:marTop w:val="0"/>
      <w:marBottom w:val="0"/>
      <w:divBdr>
        <w:top w:val="none" w:sz="0" w:space="0" w:color="auto"/>
        <w:left w:val="none" w:sz="0" w:space="0" w:color="auto"/>
        <w:bottom w:val="none" w:sz="0" w:space="0" w:color="auto"/>
        <w:right w:val="none" w:sz="0" w:space="0" w:color="auto"/>
      </w:divBdr>
    </w:div>
    <w:div w:id="1924678736">
      <w:marLeft w:val="480"/>
      <w:marRight w:val="0"/>
      <w:marTop w:val="0"/>
      <w:marBottom w:val="0"/>
      <w:divBdr>
        <w:top w:val="none" w:sz="0" w:space="0" w:color="auto"/>
        <w:left w:val="none" w:sz="0" w:space="0" w:color="auto"/>
        <w:bottom w:val="none" w:sz="0" w:space="0" w:color="auto"/>
        <w:right w:val="none" w:sz="0" w:space="0" w:color="auto"/>
      </w:divBdr>
    </w:div>
    <w:div w:id="1938247884">
      <w:marLeft w:val="480"/>
      <w:marRight w:val="0"/>
      <w:marTop w:val="0"/>
      <w:marBottom w:val="0"/>
      <w:divBdr>
        <w:top w:val="none" w:sz="0" w:space="0" w:color="auto"/>
        <w:left w:val="none" w:sz="0" w:space="0" w:color="auto"/>
        <w:bottom w:val="none" w:sz="0" w:space="0" w:color="auto"/>
        <w:right w:val="none" w:sz="0" w:space="0" w:color="auto"/>
      </w:divBdr>
    </w:div>
    <w:div w:id="1945379769">
      <w:marLeft w:val="640"/>
      <w:marRight w:val="0"/>
      <w:marTop w:val="0"/>
      <w:marBottom w:val="0"/>
      <w:divBdr>
        <w:top w:val="none" w:sz="0" w:space="0" w:color="auto"/>
        <w:left w:val="none" w:sz="0" w:space="0" w:color="auto"/>
        <w:bottom w:val="none" w:sz="0" w:space="0" w:color="auto"/>
        <w:right w:val="none" w:sz="0" w:space="0" w:color="auto"/>
      </w:divBdr>
    </w:div>
    <w:div w:id="1959794652">
      <w:marLeft w:val="640"/>
      <w:marRight w:val="0"/>
      <w:marTop w:val="0"/>
      <w:marBottom w:val="0"/>
      <w:divBdr>
        <w:top w:val="none" w:sz="0" w:space="0" w:color="auto"/>
        <w:left w:val="none" w:sz="0" w:space="0" w:color="auto"/>
        <w:bottom w:val="none" w:sz="0" w:space="0" w:color="auto"/>
        <w:right w:val="none" w:sz="0" w:space="0" w:color="auto"/>
      </w:divBdr>
    </w:div>
    <w:div w:id="1981374760">
      <w:marLeft w:val="640"/>
      <w:marRight w:val="0"/>
      <w:marTop w:val="0"/>
      <w:marBottom w:val="0"/>
      <w:divBdr>
        <w:top w:val="none" w:sz="0" w:space="0" w:color="auto"/>
        <w:left w:val="none" w:sz="0" w:space="0" w:color="auto"/>
        <w:bottom w:val="none" w:sz="0" w:space="0" w:color="auto"/>
        <w:right w:val="none" w:sz="0" w:space="0" w:color="auto"/>
      </w:divBdr>
    </w:div>
    <w:div w:id="1989279894">
      <w:marLeft w:val="640"/>
      <w:marRight w:val="0"/>
      <w:marTop w:val="0"/>
      <w:marBottom w:val="0"/>
      <w:divBdr>
        <w:top w:val="none" w:sz="0" w:space="0" w:color="auto"/>
        <w:left w:val="none" w:sz="0" w:space="0" w:color="auto"/>
        <w:bottom w:val="none" w:sz="0" w:space="0" w:color="auto"/>
        <w:right w:val="none" w:sz="0" w:space="0" w:color="auto"/>
      </w:divBdr>
    </w:div>
    <w:div w:id="2009818798">
      <w:bodyDiv w:val="1"/>
      <w:marLeft w:val="0"/>
      <w:marRight w:val="0"/>
      <w:marTop w:val="0"/>
      <w:marBottom w:val="0"/>
      <w:divBdr>
        <w:top w:val="none" w:sz="0" w:space="0" w:color="auto"/>
        <w:left w:val="none" w:sz="0" w:space="0" w:color="auto"/>
        <w:bottom w:val="none" w:sz="0" w:space="0" w:color="auto"/>
        <w:right w:val="none" w:sz="0" w:space="0" w:color="auto"/>
      </w:divBdr>
      <w:divsChild>
        <w:div w:id="511577120">
          <w:marLeft w:val="0"/>
          <w:marRight w:val="0"/>
          <w:marTop w:val="180"/>
          <w:marBottom w:val="240"/>
          <w:divBdr>
            <w:top w:val="none" w:sz="0" w:space="0" w:color="auto"/>
            <w:left w:val="none" w:sz="0" w:space="0" w:color="auto"/>
            <w:bottom w:val="none" w:sz="0" w:space="0" w:color="auto"/>
            <w:right w:val="none" w:sz="0" w:space="0" w:color="auto"/>
          </w:divBdr>
        </w:div>
        <w:div w:id="813596059">
          <w:marLeft w:val="0"/>
          <w:marRight w:val="0"/>
          <w:marTop w:val="0"/>
          <w:marBottom w:val="0"/>
          <w:divBdr>
            <w:top w:val="none" w:sz="0" w:space="0" w:color="auto"/>
            <w:left w:val="none" w:sz="0" w:space="0" w:color="auto"/>
            <w:bottom w:val="none" w:sz="0" w:space="0" w:color="auto"/>
            <w:right w:val="none" w:sz="0" w:space="0" w:color="auto"/>
          </w:divBdr>
        </w:div>
        <w:div w:id="1154762428">
          <w:marLeft w:val="0"/>
          <w:marRight w:val="0"/>
          <w:marTop w:val="0"/>
          <w:marBottom w:val="0"/>
          <w:divBdr>
            <w:top w:val="none" w:sz="0" w:space="0" w:color="auto"/>
            <w:left w:val="none" w:sz="0" w:space="0" w:color="auto"/>
            <w:bottom w:val="none" w:sz="0" w:space="0" w:color="auto"/>
            <w:right w:val="none" w:sz="0" w:space="0" w:color="auto"/>
          </w:divBdr>
        </w:div>
        <w:div w:id="949897701">
          <w:marLeft w:val="0"/>
          <w:marRight w:val="0"/>
          <w:marTop w:val="0"/>
          <w:marBottom w:val="0"/>
          <w:divBdr>
            <w:top w:val="none" w:sz="0" w:space="0" w:color="auto"/>
            <w:left w:val="none" w:sz="0" w:space="0" w:color="auto"/>
            <w:bottom w:val="none" w:sz="0" w:space="0" w:color="auto"/>
            <w:right w:val="none" w:sz="0" w:space="0" w:color="auto"/>
          </w:divBdr>
        </w:div>
        <w:div w:id="2038238198">
          <w:marLeft w:val="0"/>
          <w:marRight w:val="0"/>
          <w:marTop w:val="0"/>
          <w:marBottom w:val="0"/>
          <w:divBdr>
            <w:top w:val="none" w:sz="0" w:space="0" w:color="auto"/>
            <w:left w:val="none" w:sz="0" w:space="0" w:color="auto"/>
            <w:bottom w:val="none" w:sz="0" w:space="0" w:color="auto"/>
            <w:right w:val="none" w:sz="0" w:space="0" w:color="auto"/>
          </w:divBdr>
        </w:div>
      </w:divsChild>
    </w:div>
    <w:div w:id="2024359292">
      <w:marLeft w:val="640"/>
      <w:marRight w:val="0"/>
      <w:marTop w:val="0"/>
      <w:marBottom w:val="0"/>
      <w:divBdr>
        <w:top w:val="none" w:sz="0" w:space="0" w:color="auto"/>
        <w:left w:val="none" w:sz="0" w:space="0" w:color="auto"/>
        <w:bottom w:val="none" w:sz="0" w:space="0" w:color="auto"/>
        <w:right w:val="none" w:sz="0" w:space="0" w:color="auto"/>
      </w:divBdr>
    </w:div>
    <w:div w:id="2024932358">
      <w:marLeft w:val="640"/>
      <w:marRight w:val="0"/>
      <w:marTop w:val="0"/>
      <w:marBottom w:val="0"/>
      <w:divBdr>
        <w:top w:val="none" w:sz="0" w:space="0" w:color="auto"/>
        <w:left w:val="none" w:sz="0" w:space="0" w:color="auto"/>
        <w:bottom w:val="none" w:sz="0" w:space="0" w:color="auto"/>
        <w:right w:val="none" w:sz="0" w:space="0" w:color="auto"/>
      </w:divBdr>
    </w:div>
    <w:div w:id="2025279756">
      <w:marLeft w:val="640"/>
      <w:marRight w:val="0"/>
      <w:marTop w:val="0"/>
      <w:marBottom w:val="0"/>
      <w:divBdr>
        <w:top w:val="none" w:sz="0" w:space="0" w:color="auto"/>
        <w:left w:val="none" w:sz="0" w:space="0" w:color="auto"/>
        <w:bottom w:val="none" w:sz="0" w:space="0" w:color="auto"/>
        <w:right w:val="none" w:sz="0" w:space="0" w:color="auto"/>
      </w:divBdr>
    </w:div>
    <w:div w:id="2029527634">
      <w:marLeft w:val="640"/>
      <w:marRight w:val="0"/>
      <w:marTop w:val="0"/>
      <w:marBottom w:val="0"/>
      <w:divBdr>
        <w:top w:val="none" w:sz="0" w:space="0" w:color="auto"/>
        <w:left w:val="none" w:sz="0" w:space="0" w:color="auto"/>
        <w:bottom w:val="none" w:sz="0" w:space="0" w:color="auto"/>
        <w:right w:val="none" w:sz="0" w:space="0" w:color="auto"/>
      </w:divBdr>
    </w:div>
    <w:div w:id="2037268367">
      <w:marLeft w:val="64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63626952">
      <w:marLeft w:val="640"/>
      <w:marRight w:val="0"/>
      <w:marTop w:val="0"/>
      <w:marBottom w:val="0"/>
      <w:divBdr>
        <w:top w:val="none" w:sz="0" w:space="0" w:color="auto"/>
        <w:left w:val="none" w:sz="0" w:space="0" w:color="auto"/>
        <w:bottom w:val="none" w:sz="0" w:space="0" w:color="auto"/>
        <w:right w:val="none" w:sz="0" w:space="0" w:color="auto"/>
      </w:divBdr>
    </w:div>
    <w:div w:id="2069104743">
      <w:marLeft w:val="640"/>
      <w:marRight w:val="0"/>
      <w:marTop w:val="0"/>
      <w:marBottom w:val="0"/>
      <w:divBdr>
        <w:top w:val="none" w:sz="0" w:space="0" w:color="auto"/>
        <w:left w:val="none" w:sz="0" w:space="0" w:color="auto"/>
        <w:bottom w:val="none" w:sz="0" w:space="0" w:color="auto"/>
        <w:right w:val="none" w:sz="0" w:space="0" w:color="auto"/>
      </w:divBdr>
    </w:div>
    <w:div w:id="2093812513">
      <w:marLeft w:val="64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3B95D0F-C9C8-1142-A6DD-2CC4DF8BE0C0}">
  <we:reference id="wa104382081" version="1.55.1.0" store="es-HN" storeType="OMEX"/>
  <we:alternateReferences>
    <we:reference id="WA104382081" version="1.55.1.0" store="" storeType="OMEX"/>
  </we:alternateReferences>
  <we:properties>
    <we:property name="MENDELEY_CITATIONS" value="[{&quot;citationID&quot;:&quot;MENDELEY_CITATION_8d0c8865-0e0a-40a6-8815-e3783795b429&quot;,&quot;properties&quot;:{&quot;noteIndex&quot;:0},&quot;isEdited&quot;:false,&quot;manualOverride&quot;:{&quot;isManuallyOverridden&quot;:false,&quot;citeprocText&quot;:&quot;[1]&quot;,&quot;manualOverrideText&quot;:&quot;&quot;},&quot;citationTag&quot;:&quot;MENDELEY_CITATION_v3_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&quot;,&quot;citationItems&quot;:[{&quot;id&quot;:&quot;012900cc-23fb-3d05-b872-62922694fd8c&quot;,&quot;itemData&quot;:{&quot;type&quot;:&quot;article-journal&quot;,&quot;id&quot;:&quot;012900cc-23fb-3d05-b872-62922694fd8c&quot;,&quot;title&quot;:&quot;Quantitative assessment of the valorisation of used cooking oils in 23 countries&quot;,&quot;author&quot;:[{&quot;family&quot;:&quot;Teixeira&quot;,&quot;given&quot;:&quot;Margarida Ribau&quot;,&quot;parse-names&quot;:false,&quot;dropping-particle&quot;:&quot;&quot;,&quot;non-dropping-particle&quot;:&quot;&quot;},{&quot;family&quot;:&quot;Nogueira&quot;,&quot;given&quot;:&quot;Ricardo&quot;,&quot;parse-names&quot;:false,&quot;dropping-particle&quot;:&quot;&quot;,&quot;non-dropping-particle&quot;:&quot;&quot;},{&quot;family&quot;:&quot;Nunes&quot;,&quot;given&quot;:&quot;Luís Miguel&quot;,&quot;parse-names&quot;:false,&quot;dropping-particle&quot;:&quot;&quot;,&quot;non-dropping-particle&quot;:&quot;&quot;}],&quot;container-title&quot;:&quot;Waste Management&quot;,&quot;DOI&quot;:&quot;10.1016/j.wasman.2018.06.039&quot;,&quot;ISSN&quot;:&quot;18792456&quot;,&quot;PMID&quot;:&quot;32559952&quot;,&quot;issued&quot;:{&quot;date-parts&quot;:[[2018,8,1]]},&quot;page&quot;:&quot;611-620&quot;,&quot;abstract&quot;:&quot;The article quantifies, in a set of 23 countries, the amounts consumed of vegetable oils, the amounts of used oils produced after cooking, the amounts available for valorisation, and finally the quantities being valorised. The management practices adopted are also reviewed. Based on data collected, a production factor, relating vegetable oil consumption with used cooking oil production, of 0.32 is proposed. The valorisation factor, which quantifies the fraction of UCO being valorised, is higher in better performing countries (0.749) and worst in the remaining (0.232). Three consumption-valorisation factors, relating consumption with valorisation, were obtained: for high performing countries (0.274); intermediate performing (0.105); and under-performing (0.078). The management systems adopted by the different countries are based on either second-generation economic instruments (USA and Brazil), or on third-generation economic instruments (EU, Argentina, Japan). The former has allowed countries to attain better valorisation rates.&quot;,&quot;publisher&quot;:&quot;Elsevier Ltd&quot;,&quot;volume&quot;:&quot;78&quot;,&quot;container-title-short&quot;:&quot;&quot;},&quot;isTemporary&quot;:false,&quot;suppress-author&quot;:false,&quot;composite&quot;:false,&quot;author-only&quot;:false}]},{&quot;citationID&quot;:&quot;MENDELEY_CITATION_b061960c-c20c-4c37-b446-c980b6ad5bc1&quot;,&quot;properties&quot;:{&quot;noteIndex&quot;:0},&quot;isEdited&quot;:false,&quot;manualOverride&quot;:{&quot;isManuallyOverridden&quot;:false,&quot;citeprocText&quot;:&quot;[1]&quot;,&quot;manualOverrideText&quot;:&quot;&quot;},&quot;citationTag&quot;:&quot;MENDELEY_CITATION_v3_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&quot;,&quot;citationItems&quot;:[{&quot;id&quot;:&quot;012900cc-23fb-3d05-b872-62922694fd8c&quot;,&quot;itemData&quot;:{&quot;type&quot;:&quot;article-journal&quot;,&quot;id&quot;:&quot;012900cc-23fb-3d05-b872-62922694fd8c&quot;,&quot;title&quot;:&quot;Quantitative assessment of the valorisation of used cooking oils in 23 countries&quot;,&quot;author&quot;:[{&quot;family&quot;:&quot;Teixeira&quot;,&quot;given&quot;:&quot;Margarida Ribau&quot;,&quot;parse-names&quot;:false,&quot;dropping-particle&quot;:&quot;&quot;,&quot;non-dropping-particle&quot;:&quot;&quot;},{&quot;family&quot;:&quot;Nogueira&quot;,&quot;given&quot;:&quot;Ricardo&quot;,&quot;parse-names&quot;:false,&quot;dropping-particle&quot;:&quot;&quot;,&quot;non-dropping-particle&quot;:&quot;&quot;},{&quot;family&quot;:&quot;Nunes&quot;,&quot;given&quot;:&quot;Luís Miguel&quot;,&quot;parse-names&quot;:false,&quot;dropping-particle&quot;:&quot;&quot;,&quot;non-dropping-particle&quot;:&quot;&quot;}],&quot;container-title&quot;:&quot;Waste Management&quot;,&quot;DOI&quot;:&quot;10.1016/j.wasman.2018.06.039&quot;,&quot;ISSN&quot;:&quot;18792456&quot;,&quot;PMID&quot;:&quot;32559952&quot;,&quot;issued&quot;:{&quot;date-parts&quot;:[[2018,8,1]]},&quot;page&quot;:&quot;611-620&quot;,&quot;abstract&quot;:&quot;The article quantifies, in a set of 23 countries, the amounts consumed of vegetable oils, the amounts of used oils produced after cooking, the amounts available for valorisation, and finally the quantities being valorised. The management practices adopted are also reviewed. Based on data collected, a production factor, relating vegetable oil consumption with used cooking oil production, of 0.32 is proposed. The valorisation factor, which quantifies the fraction of UCO being valorised, is higher in better performing countries (0.749) and worst in the remaining (0.232). Three consumption-valorisation factors, relating consumption with valorisation, were obtained: for high performing countries (0.274); intermediate performing (0.105); and under-performing (0.078). The management systems adopted by the different countries are based on either second-generation economic instruments (USA and Brazil), or on third-generation economic instruments (EU, Argentina, Japan). The former has allowed countries to attain better valorisation rates.&quot;,&quot;publisher&quot;:&quot;Elsevier Ltd&quot;,&quot;volume&quot;:&quot;78&quot;,&quot;container-title-short&quot;:&quot;&quot;},&quot;isTemporary&quot;:false,&quot;suppress-author&quot;:false,&quot;composite&quot;:false,&quot;author-only&quot;:false}]},{&quot;citationID&quot;:&quot;MENDELEY_CITATION_438dac5c-96a4-465f-a138-4c0cc56f775a&quot;,&quot;properties&quot;:{&quot;noteIndex&quot;:0},&quot;isEdited&quot;:false,&quot;manualOverride&quot;:{&quot;isManuallyOverridden&quot;:false,&quot;citeprocText&quot;:&quot;[2]&quot;,&quot;manualOverrideText&quot;:&quot;&quot;},&quot;citationTag&quot;:&quot;MENDELEY_CITATION_v3_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&quot;,&quot;citationItems&quot;:[{&quot;id&quot;:&quot;2ab387c1-f201-3a0a-85a7-58ff10299c42&quot;,&quot;itemData&quot;:{&quot;type&quot;:&quot;book&quot;,&quot;id&quot;:&quot;2ab387c1-f201-3a0a-85a7-58ff10299c42&quot;,&quot;title&quot;:&quot;Grasas y aceites en la nutrición humana. Consulta FAO/OMS de expertos.&quot;,&quot;author&quot;:[{&quot;family&quot;:&quot;Organización de las Naciones Unidas para la Agricultura y la Alimentación&quot;,&quot;given&quot;:&quot;&quot;,&quot;parse-names&quot;:false,&quot;dropping-particle&quot;:&quot;&quot;,&quot;non-dropping-particle&quot;:&quot;&quot;},{&quot;family&quot;:&quot;Organización Mundial de la Salud&quot;,&quot;given&quot;:&quot;&quot;,&quot;parse-names&quot;:false,&quot;dropping-particle&quot;:&quot;&quot;,&quot;non-dropping-particle&quot;:&quot;&quot;}],&quot;issued&quot;:{&quot;date-parts&quot;:[[1997]]},&quot;publisher-place&quot;:&quot;Rome&quot;,&quot;abstract&quot;:&quot;Invitados por la Organización de las Naciones Unidas para la Agricultura y la Alimentación (FAO) y por la Organización Mundial de la Salud (OMS), se reunió en Roma del 19 al 26 de octubre de 1993 un grupo internacional de expertos en nutrición, salud pública, y ciencia y tecnología de los alimentos, para estudiar los últimos datos científicos sobre las grasas y aceites de la dieta.&quot;,&quot;volume&quot;:&quot;57&quot;,&quot;container-title-short&quot;:&quot;&quot;},&quot;isTemporary&quot;:false,&quot;suppress-author&quot;:false,&quot;composite&quot;:false,&quot;author-only&quot;:false}]},{&quot;citationID&quot;:&quot;MENDELEY_CITATION_eeb3edd9-64d1-4883-aa64-160ac030df47&quot;,&quot;properties&quot;:{&quot;noteIndex&quot;:0},&quot;isEdited&quot;:false,&quot;manualOverride&quot;:{&quot;isManuallyOverridden&quot;:false,&quot;citeprocText&quot;:&quot;[1]&quot;,&quot;manualOverrideText&quot;:&quot;&quot;},&quot;citationTag&quot;:&quot;MENDELEY_CITATION_v3_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&quot;,&quot;citationItems&quot;:[{&quot;id&quot;:&quot;012900cc-23fb-3d05-b872-62922694fd8c&quot;,&quot;itemData&quot;:{&quot;type&quot;:&quot;article-journal&quot;,&quot;id&quot;:&quot;012900cc-23fb-3d05-b872-62922694fd8c&quot;,&quot;title&quot;:&quot;Quantitative assessment of the valorisation of used cooking oils in 23 countries&quot;,&quot;author&quot;:[{&quot;family&quot;:&quot;Teixeira&quot;,&quot;given&quot;:&quot;Margarida Ribau&quot;,&quot;parse-names&quot;:false,&quot;dropping-particle&quot;:&quot;&quot;,&quot;non-dropping-particle&quot;:&quot;&quot;},{&quot;family&quot;:&quot;Nogueira&quot;,&quot;given&quot;:&quot;Ricardo&quot;,&quot;parse-names&quot;:false,&quot;dropping-particle&quot;:&quot;&quot;,&quot;non-dropping-particle&quot;:&quot;&quot;},{&quot;family&quot;:&quot;Nunes&quot;,&quot;given&quot;:&quot;Luís Miguel&quot;,&quot;parse-names&quot;:false,&quot;dropping-particle&quot;:&quot;&quot;,&quot;non-dropping-particle&quot;:&quot;&quot;}],&quot;container-title&quot;:&quot;Waste Management&quot;,&quot;DOI&quot;:&quot;10.1016/j.wasman.2018.06.039&quot;,&quot;ISSN&quot;:&quot;18792456&quot;,&quot;PMID&quot;:&quot;32559952&quot;,&quot;issued&quot;:{&quot;date-parts&quot;:[[2018,8,1]]},&quot;page&quot;:&quot;611-620&quot;,&quot;abstract&quot;:&quot;The article quantifies, in a set of 23 countries, the amounts consumed of vegetable oils, the amounts of used oils produced after cooking, the amounts available for valorisation, and finally the quantities being valorised. The management practices adopted are also reviewed. Based on data collected, a production factor, relating vegetable oil consumption with used cooking oil production, of 0.32 is proposed. The valorisation factor, which quantifies the fraction of UCO being valorised, is higher in better performing countries (0.749) and worst in the remaining (0.232). Three consumption-valorisation factors, relating consumption with valorisation, were obtained: for high performing countries (0.274); intermediate performing (0.105); and under-performing (0.078). The management systems adopted by the different countries are based on either second-generation economic instruments (USA and Brazil), or on third-generation economic instruments (EU, Argentina, Japan). The former has allowed countries to attain better valorisation rates.&quot;,&quot;publisher&quot;:&quot;Elsevier Ltd&quot;,&quot;volume&quot;:&quot;78&quot;,&quot;container-title-short&quot;:&quot;&quot;},&quot;isTemporary&quot;:false,&quot;suppress-author&quot;:false,&quot;composite&quot;:false,&quot;author-only&quot;:false}]},{&quot;citationID&quot;:&quot;MENDELEY_CITATION_b68a406a-d04a-4f27-a9cf-8bb6987ac607&quot;,&quot;properties&quot;:{&quot;noteIndex&quot;:0},&quot;isEdited&quot;:false,&quot;manualOverride&quot;:{&quot;isManuallyOverridden&quot;:false,&quot;citeprocText&quot;:&quot;[1]&quot;,&quot;manualOverrideText&quot;:&quot;&quot;},&quot;citationTag&quot;:&quot;MENDELEY_CITATION_v3_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&quot;,&quot;citationItems&quot;:[{&quot;id&quot;:&quot;012900cc-23fb-3d05-b872-62922694fd8c&quot;,&quot;itemData&quot;:{&quot;type&quot;:&quot;article-journal&quot;,&quot;id&quot;:&quot;012900cc-23fb-3d05-b872-62922694fd8c&quot;,&quot;title&quot;:&quot;Quantitative assessment of the valorisation of used cooking oils in 23 countries&quot;,&quot;author&quot;:[{&quot;family&quot;:&quot;Teixeira&quot;,&quot;given&quot;:&quot;Margarida Ribau&quot;,&quot;parse-names&quot;:false,&quot;dropping-particle&quot;:&quot;&quot;,&quot;non-dropping-particle&quot;:&quot;&quot;},{&quot;family&quot;:&quot;Nogueira&quot;,&quot;given&quot;:&quot;Ricardo&quot;,&quot;parse-names&quot;:false,&quot;dropping-particle&quot;:&quot;&quot;,&quot;non-dropping-particle&quot;:&quot;&quot;},{&quot;family&quot;:&quot;Nunes&quot;,&quot;given&quot;:&quot;Luís Miguel&quot;,&quot;parse-names&quot;:false,&quot;dropping-particle&quot;:&quot;&quot;,&quot;non-dropping-particle&quot;:&quot;&quot;}],&quot;container-title&quot;:&quot;Waste Management&quot;,&quot;DOI&quot;:&quot;10.1016/j.wasman.2018.06.039&quot;,&quot;ISSN&quot;:&quot;18792456&quot;,&quot;PMID&quot;:&quot;32559952&quot;,&quot;issued&quot;:{&quot;date-parts&quot;:[[2018,8,1]]},&quot;page&quot;:&quot;611-620&quot;,&quot;abstract&quot;:&quot;The article quantifies, in a set of 23 countries, the amounts consumed of vegetable oils, the amounts of used oils produced after cooking, the amounts available for valorisation, and finally the quantities being valorised. The management practices adopted are also reviewed. Based on data collected, a production factor, relating vegetable oil consumption with used cooking oil production, of 0.32 is proposed. The valorisation factor, which quantifies the fraction of UCO being valorised, is higher in better performing countries (0.749) and worst in the remaining (0.232). Three consumption-valorisation factors, relating consumption with valorisation, were obtained: for high performing countries (0.274); intermediate performing (0.105); and under-performing (0.078). The management systems adopted by the different countries are based on either second-generation economic instruments (USA and Brazil), or on third-generation economic instruments (EU, Argentina, Japan). The former has allowed countries to attain better valorisation rates.&quot;,&quot;publisher&quot;:&quot;Elsevier Ltd&quot;,&quot;volume&quot;:&quot;78&quot;,&quot;container-title-short&quot;:&quot;&quot;},&quot;isTemporary&quot;:false,&quot;suppress-author&quot;:false,&quot;composite&quot;:false,&quot;author-only&quot;:false}]},{&quot;citationID&quot;:&quot;MENDELEY_CITATION_60eb73e7-2f3f-4963-ab57-d94d04c6f44e&quot;,&quot;properties&quot;:{&quot;noteIndex&quot;:0},&quot;isEdited&quot;:false,&quot;manualOverride&quot;:{&quot;isManuallyOverridden&quot;:false,&quot;citeprocText&quot;:&quot;[1]&quot;,&quot;manualOverrideText&quot;:&quot;&quot;},&quot;citationTag&quot;:&quot;MENDELEY_CITATION_v3_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&quot;,&quot;citationItems&quot;:[{&quot;id&quot;:&quot;012900cc-23fb-3d05-b872-62922694fd8c&quot;,&quot;itemData&quot;:{&quot;type&quot;:&quot;article-journal&quot;,&quot;id&quot;:&quot;012900cc-23fb-3d05-b872-62922694fd8c&quot;,&quot;title&quot;:&quot;Quantitative assessment of the valorisation of used cooking oils in 23 countries&quot;,&quot;author&quot;:[{&quot;family&quot;:&quot;Teixeira&quot;,&quot;given&quot;:&quot;Margarida Ribau&quot;,&quot;parse-names&quot;:false,&quot;dropping-particle&quot;:&quot;&quot;,&quot;non-dropping-particle&quot;:&quot;&quot;},{&quot;family&quot;:&quot;Nogueira&quot;,&quot;given&quot;:&quot;Ricardo&quot;,&quot;parse-names&quot;:false,&quot;dropping-particle&quot;:&quot;&quot;,&quot;non-dropping-particle&quot;:&quot;&quot;},{&quot;family&quot;:&quot;Nunes&quot;,&quot;given&quot;:&quot;Luís Miguel&quot;,&quot;parse-names&quot;:false,&quot;dropping-particle&quot;:&quot;&quot;,&quot;non-dropping-particle&quot;:&quot;&quot;}],&quot;container-title&quot;:&quot;Waste Management&quot;,&quot;DOI&quot;:&quot;10.1016/j.wasman.2018.06.039&quot;,&quot;ISSN&quot;:&quot;18792456&quot;,&quot;PMID&quot;:&quot;32559952&quot;,&quot;issued&quot;:{&quot;date-parts&quot;:[[2018,8,1]]},&quot;page&quot;:&quot;611-620&quot;,&quot;abstract&quot;:&quot;The article quantifies, in a set of 23 countries, the amounts consumed of vegetable oils, the amounts of used oils produced after cooking, the amounts available for valorisation, and finally the quantities being valorised. The management practices adopted are also reviewed. Based on data collected, a production factor, relating vegetable oil consumption with used cooking oil production, of 0.32 is proposed. The valorisation factor, which quantifies the fraction of UCO being valorised, is higher in better performing countries (0.749) and worst in the remaining (0.232). Three consumption-valorisation factors, relating consumption with valorisation, were obtained: for high performing countries (0.274); intermediate performing (0.105); and under-performing (0.078). The management systems adopted by the different countries are based on either second-generation economic instruments (USA and Brazil), or on third-generation economic instruments (EU, Argentina, Japan). The former has allowed countries to attain better valorisation rates.&quot;,&quot;publisher&quot;:&quot;Elsevier Ltd&quot;,&quot;volume&quot;:&quot;78&quot;,&quot;container-title-short&quot;:&quot;&quot;},&quot;isTemporary&quot;:false,&quot;suppress-author&quot;:false,&quot;composite&quot;:false,&quot;author-only&quot;:false}]},{&quot;citationID&quot;:&quot;MENDELEY_CITATION_ea9fe9e7-40cf-466b-be5b-67b51292e062&quot;,&quot;properties&quot;:{&quot;noteIndex&quot;:0},&quot;isEdited&quot;:false,&quot;manualOverride&quot;:{&quot;isManuallyOverridden&quot;:false,&quot;citeprocText&quot;:&quot;[3]&quot;,&quot;manualOverrideText&quot;:&quot;&quot;},&quot;citationTag&quot;:&quot;MENDELEY_CITATION_v3_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&quot;,&quot;citationItems&quot;:[{&quot;id&quot;:&quot;6ff90e84-e3a6-3c7d-a02a-27403287b188&quot;,&quot;itemData&quot;:{&quot;type&quot;:&quot;report&quot;,&quot;id&quot;:&quot;6ff90e84-e3a6-3c7d-a02a-27403287b188&quot;,&quot;title&quot;:&quot;Encuesta Nacional Agropecuaria (ENA)&quot;,&quot;author&quot;:[{&quot;family&quot;:&quot;Departamento Administrativo Nacional de Estadística (DANE)&quot;,&quot;given&quot;:&quot;&quot;,&quot;parse-names&quot;:false,&quot;dropping-particle&quot;:&quot;&quot;,&quot;non-dropping-particle&quot;:&quot;&quot;}],&quot;accessed&quot;:{&quot;date-parts&quot;:[[2025,7,30]]},&quot;URL&quot;:&quot;https://www.dane.gov.co/index.php/estadisticas-por-tema/agropecuario/encuesta-nacional-agropecuaria-ena&quot;,&quot;issued&quot;:{&quot;date-parts&quot;:[[2023]]},&quot;publisher-place&quot;:&quot;Bogotá D.C.&quot;,&quot;language&quot;:&quot;Español&quot;,&quot;container-title-short&quot;:&quot;&quot;},&quot;isTemporary&quot;:false,&quot;suppress-author&quot;:false,&quot;composite&quot;:false,&quot;author-only&quot;:false}]},{&quot;citationID&quot;:&quot;MENDELEY_CITATION_1796c369-e92d-481b-85bc-15556dbd2270&quot;,&quot;properties&quot;:{&quot;noteIndex&quot;:0},&quot;isEdited&quot;:false,&quot;manualOverride&quot;:{&quot;isManuallyOverridden&quot;:false,&quot;citeprocText&quot;:&quot;[4]&quot;,&quot;manualOverrideText&quot;:&quot;&quot;},&quot;citationTag&quot;:&quot;MENDELEY_CITATION_v3_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&quot;,&quot;citationItems&quot;:[{&quot;id&quot;:&quot;9819ee72-671e-3371-b61a-f2ca4c108a9c&quot;,&quot;itemData&quot;:{&quot;type&quot;:&quot;webpage&quot;,&quot;id&quot;:&quot;9819ee72-671e-3371-b61a-f2ca4c108a9c&quot;,&quot;title&quot;:&quot;FAOSTAT&quot;,&quot;author&quot;:[{&quot;family&quot;:&quot;Organización de las Naciones Unidas para la Agricultura y la Alimentación&quot;,&quot;given&quot;:&quot;&quot;,&quot;parse-names&quot;:false,&quot;dropping-particle&quot;:&quot;&quot;,&quot;non-dropping-particle&quot;:&quot;&quot;}],&quot;accessed&quot;:{&quot;date-parts&quot;:[[2025,7,31]]},&quot;URL&quot;:&quot;https://www.fao.org/faostat/en/#data/QCL&quot;,&quot;issued&quot;:{&quot;date-parts&quot;:[[2025]]},&quot;language&quot;:&quot;English&quot;,&quot;container-title-short&quot;:&quot;&quot;},&quot;isTemporary&quot;:false,&quot;suppress-author&quot;:false,&quot;composite&quot;:false,&quot;author-only&quot;:false}]},{&quot;citationID&quot;:&quot;MENDELEY_CITATION_56260357-18f8-479b-a303-afda9ccace4a&quot;,&quot;properties&quot;:{&quot;noteIndex&quot;:0},&quot;isEdited&quot;:false,&quot;manualOverride&quot;:{&quot;isManuallyOverridden&quot;:true,&quot;citeprocText&quot;:&quot;[5]&quot;,&quot;manualOverrideText&quot;:&quot;(OLEO revista, 2024).&quot;},&quot;citationTag&quot;:&quot;MENDELEY_CITATION_v3_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&quot;,&quot;citationItems&quot;:[{&quot;id&quot;:&quot;e43c5a34-ef17-3b41-8466-f704983ca0a8&quot;,&quot;itemData&quot;:{&quot;type&quot;:&quot;webpage&quot;,&quot;id&quot;:&quot;e43c5a34-ef17-3b41-8466-f704983ca0a8&quot;,&quot;title&quot;:&quot;En Colombia se consumen anualmente 350 millones de litros de aceite al año&quot;,&quot;author&quot;:[{&quot;family&quot;:&quot;OLEO revista&quot;,&quot;given&quot;:&quot;&quot;,&quot;parse-names&quot;:false,&quot;dropping-particle&quot;:&quot;&quot;,&quot;non-dropping-particle&quot;:&quot;&quot;}],&quot;accessed&quot;:{&quot;date-parts&quot;:[[2025,7,31]]},&quot;URL&quot;:&quot;https://www.oleorevista.com/texto-diario/mostrar/4762521/consumo-aceite-colombia-alcanza-350-millones-litros-anuales-segun-euromonitor&quot;,&quot;issued&quot;:{&quot;date-parts&quot;:[[2024,3,19]]},&quot;language&quot;:&quot;Español&quot;,&quot;abstract&quot;:&quot;ÓLEO, revista especializada en el sector oleícola cuyo objetivo es el de comunicar y transmitir a toda la cadena de valor de la industria del aceite de oliva así como de la aceituna de mesa, con calidad y veracidad, todos aquellos contenidos imprescindibles en el desarrollo del negocio y la transformación del sector. Informando de forma ininterrumpida desde 1961, es una de las publicaciones referentes de la prensa sectorial en España.&quot;,&quot;container-title-short&quot;:&quot;&quot;},&quot;isTemporary&quot;:false,&quot;suppress-author&quot;:false,&quot;composite&quot;:false,&quot;author-only&quot;:false}]},{&quot;citationID&quot;:&quot;MENDELEY_CITATION_d9661e1c-16ff-4502-a56d-58818f52621b&quot;,&quot;properties&quot;:{&quot;noteIndex&quot;:0},&quot;isEdited&quot;:false,&quot;manualOverride&quot;:{&quot;isManuallyOverridden&quot;:false,&quot;citeprocText&quot;:&quot;[5]&quot;,&quot;manualOverrideText&quot;:&quot;&quot;},&quot;citationTag&quot;:&quot;MENDELEY_CITATION_v3_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&quot;,&quot;citationItems&quot;:[{&quot;id&quot;:&quot;e43c5a34-ef17-3b41-8466-f704983ca0a8&quot;,&quot;itemData&quot;:{&quot;type&quot;:&quot;webpage&quot;,&quot;id&quot;:&quot;e43c5a34-ef17-3b41-8466-f704983ca0a8&quot;,&quot;title&quot;:&quot;En Colombia se consumen anualmente 350 millones de litros de aceite al año&quot;,&quot;author&quot;:[{&quot;family&quot;:&quot;OLEO revista&quot;,&quot;given&quot;:&quot;&quot;,&quot;parse-names&quot;:false,&quot;dropping-particle&quot;:&quot;&quot;,&quot;non-dropping-particle&quot;:&quot;&quot;}],&quot;accessed&quot;:{&quot;date-parts&quot;:[[2025,7,31]]},&quot;URL&quot;:&quot;https://www.oleorevista.com/texto-diario/mostrar/4762521/consumo-aceite-colombia-alcanza-350-millones-litros-anuales-segun-euromonitor&quot;,&quot;issued&quot;:{&quot;date-parts&quot;:[[2024,3,19]]},&quot;language&quot;:&quot;Español&quot;,&quot;abstract&quot;:&quot;ÓLEO, revista especializada en el sector oleícola cuyo objetivo es el de comunicar y transmitir a toda la cadena de valor de la industria del aceite de oliva así como de la aceituna de mesa, con calidad y veracidad, todos aquellos contenidos imprescindibles en el desarrollo del negocio y la transformación del sector. Informando de forma ininterrumpida desde 1961, es una de las publicaciones referentes de la prensa sectorial en España.&quot;,&quot;container-title-short&quot;:&quot;&quot;},&quot;isTemporary&quot;:false,&quot;suppress-author&quot;:false,&quot;composite&quot;:false,&quot;author-only&quot;:false}]},{&quot;citationID&quot;:&quot;MENDELEY_CITATION_e30750fd-37e7-4986-ad31-9da0dc1f125d&quot;,&quot;properties&quot;:{&quot;noteIndex&quot;:0},&quot;isEdited&quot;:false,&quot;manualOverride&quot;:{&quot;isManuallyOverridden&quot;:false,&quot;citeprocText&quot;:&quot;[1]&quot;,&quot;manualOverrideText&quot;:&quot;&quot;},&quot;citationTag&quot;:&quot;MENDELEY_CITATION_v3_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&quot;,&quot;citationItems&quot;:[{&quot;id&quot;:&quot;012900cc-23fb-3d05-b872-62922694fd8c&quot;,&quot;itemData&quot;:{&quot;type&quot;:&quot;article-journal&quot;,&quot;id&quot;:&quot;012900cc-23fb-3d05-b872-62922694fd8c&quot;,&quot;title&quot;:&quot;Quantitative assessment of the valorisation of used cooking oils in 23 countries&quot;,&quot;author&quot;:[{&quot;family&quot;:&quot;Teixeira&quot;,&quot;given&quot;:&quot;Margarida Ribau&quot;,&quot;parse-names&quot;:false,&quot;dropping-particle&quot;:&quot;&quot;,&quot;non-dropping-particle&quot;:&quot;&quot;},{&quot;family&quot;:&quot;Nogueira&quot;,&quot;given&quot;:&quot;Ricardo&quot;,&quot;parse-names&quot;:false,&quot;dropping-particle&quot;:&quot;&quot;,&quot;non-dropping-particle&quot;:&quot;&quot;},{&quot;family&quot;:&quot;Nunes&quot;,&quot;given&quot;:&quot;Luís Miguel&quot;,&quot;parse-names&quot;:false,&quot;dropping-particle&quot;:&quot;&quot;,&quot;non-dropping-particle&quot;:&quot;&quot;}],&quot;container-title&quot;:&quot;Waste Management&quot;,&quot;DOI&quot;:&quot;10.1016/j.wasman.2018.06.039&quot;,&quot;ISSN&quot;:&quot;18792456&quot;,&quot;PMID&quot;:&quot;32559952&quot;,&quot;issued&quot;:{&quot;date-parts&quot;:[[2018,8,1]]},&quot;page&quot;:&quot;611-620&quot;,&quot;abstract&quot;:&quot;The article quantifies, in a set of 23 countries, the amounts consumed of vegetable oils, the amounts of used oils produced after cooking, the amounts available for valorisation, and finally the quantities being valorised. The management practices adopted are also reviewed. Based on data collected, a production factor, relating vegetable oil consumption with used cooking oil production, of 0.32 is proposed. The valorisation factor, which quantifies the fraction of UCO being valorised, is higher in better performing countries (0.749) and worst in the remaining (0.232). Three consumption-valorisation factors, relating consumption with valorisation, were obtained: for high performing countries (0.274); intermediate performing (0.105); and under-performing (0.078). The management systems adopted by the different countries are based on either second-generation economic instruments (USA and Brazil), or on third-generation economic instruments (EU, Argentina, Japan). The former has allowed countries to attain better valorisation rates.&quot;,&quot;publisher&quot;:&quot;Elsevier Ltd&quot;,&quot;volume&quot;:&quot;78&quot;,&quot;container-title-short&quot;:&quot;&quot;},&quot;isTemporary&quot;:false,&quot;suppress-author&quot;:false,&quot;composite&quot;:false,&quot;author-only&quot;:false}]},{&quot;citationID&quot;:&quot;MENDELEY_CITATION_12e08280-7ee4-4b28-8bce-02146a03f669&quot;,&quot;properties&quot;:{&quot;noteIndex&quot;:0},&quot;isEdited&quot;:false,&quot;manualOverride&quot;:{&quot;isManuallyOverridden&quot;:false,&quot;citeprocText&quot;:&quot;[6]&quot;,&quot;manualOverrideText&quot;:&quot;&quot;},&quot;citationItems&quot;:[{&quot;id&quot;:&quot;97465c58-b1e2-355d-b1e9-b25330cbb2af&quot;,&quot;itemData&quot;:{&quot;type&quot;:&quot;article&quot;,&quot;id&quot;:&quot;97465c58-b1e2-355d-b1e9-b25330cbb2af&quot;,&quot;title&quot;:&quot;Análisis de ciclo de vida del proceso de aprovechamiento y valorización de aceite de cocina usado en Bogotá como materia prima oleoquímica&quot;,&quot;author&quot;:[{&quot;family&quot;:&quot;Torres Ulloa&quot;,&quot;given&quot;:&quot;Paola Andrea&quot;,&quot;parse-names&quot;:false,&quot;dropping-particle&quot;:&quot;&quot;,&quot;non-dropping-particle&quot;:&quot;&quot;}],&quot;URL&quot;:&quot;https://repositorio.unal.edu.co/handle/unal/77282&quot;,&quot;issued&quot;:{&quot;date-parts&quot;:[[2019]]},&quot;abstract&quot;:&quot;La presente investigación presenta los resultados obtenidos de un análisis de ciclo de vida (ACV) para la cadena de aprovechamiento y valorización del aceite de cocina usado generado en Bogotá, al ser transformado en materia prima para la industria oleoquímica. El ACV se implementó sobre la herramienta de software de uso libre OpenLCA. El inventario de emisiones se desarrolló con base en datos recolectados por medio de entrevistas a los actores involucrados en el proceso, referencias bibliográficas, e inventarios de emisiones de la base de datos Ecoinvent v3.4. Se cuantificaron varios impactos ambientales por medio de la metodología CML 2001. Según los resultados, la etapa del proceso que presenta mayor aporte en impactos ambientales es el pretratamiento del aceite recolectado, en particular el uso de energía en el bombeo y en el proceso de rectificación y deshumidificación del aceite a altas temperaturas. Adicionalmente se desarrolló la comparación del escenario de aprovechamiento del aceite de cocina usado respecto al escenario de disposición final como residuo. Lo anterior permitió evidenciar que el aprovechamiento como materia prima oleoquímica es más sostenible que la disposición final del residuo.&quot;,&quot;container-title-short&quot;:&quot;&quot;},&quot;isTemporary&quot;:false,&quot;suppress-author&quot;:false,&quot;composite&quot;:false,&quot;author-only&quot;:false}],&quot;citationTag&quot;:&quot;MENDELEY_CITATION_v3_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&quot;},{&quot;citationID&quot;:&quot;MENDELEY_CITATION_22419f2f-1857-4bda-847b-406200ba9036&quot;,&quot;properties&quot;:{&quot;noteIndex&quot;:0},&quot;isEdited&quot;:false,&quot;manualOverride&quot;:{&quot;isManuallyOverridden&quot;:false,&quot;citeprocText&quot;:&quot;[6]&quot;,&quot;manualOverrideText&quot;:&quot;&quot;},&quot;citationItems&quot;:[{&quot;id&quot;:&quot;97465c58-b1e2-355d-b1e9-b25330cbb2af&quot;,&quot;itemData&quot;:{&quot;type&quot;:&quot;article&quot;,&quot;id&quot;:&quot;97465c58-b1e2-355d-b1e9-b25330cbb2af&quot;,&quot;title&quot;:&quot;Análisis de ciclo de vida del proceso de aprovechamiento y valorización de aceite de cocina usado en Bogotá como materia prima oleoquímica&quot;,&quot;author&quot;:[{&quot;family&quot;:&quot;Torres Ulloa&quot;,&quot;given&quot;:&quot;Paola Andrea&quot;,&quot;parse-names&quot;:false,&quot;dropping-particle&quot;:&quot;&quot;,&quot;non-dropping-particle&quot;:&quot;&quot;}],&quot;URL&quot;:&quot;https://repositorio.unal.edu.co/handle/unal/77282&quot;,&quot;issued&quot;:{&quot;date-parts&quot;:[[2019]]},&quot;abstract&quot;:&quot;La presente investigación presenta los resultados obtenidos de un análisis de ciclo de vida (ACV) para la cadena de aprovechamiento y valorización del aceite de cocina usado generado en Bogotá, al ser transformado en materia prima para la industria oleoquímica. El ACV se implementó sobre la herramienta de software de uso libre OpenLCA. El inventario de emisiones se desarrolló con base en datos recolectados por medio de entrevistas a los actores involucrados en el proceso, referencias bibliográficas, e inventarios de emisiones de la base de datos Ecoinvent v3.4. Se cuantificaron varios impactos ambientales por medio de la metodología CML 2001. Según los resultados, la etapa del proceso que presenta mayor aporte en impactos ambientales es el pretratamiento del aceite recolectado, en particular el uso de energía en el bombeo y en el proceso de rectificación y deshumidificación del aceite a altas temperaturas. Adicionalmente se desarrolló la comparación del escenario de aprovechamiento del aceite de cocina usado respecto al escenario de disposición final como residuo. Lo anterior permitió evidenciar que el aprovechamiento como materia prima oleoquímica es más sostenible que la disposición final del residuo.&quot;,&quot;container-title-short&quot;:&quot;&quot;},&quot;isTemporary&quot;:false,&quot;suppress-author&quot;:false,&quot;composite&quot;:false,&quot;author-only&quot;:false}],&quot;citationTag&quot;:&quot;MENDELEY_CITATION_v3_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&quot;},{&quot;citationID&quot;:&quot;MENDELEY_CITATION_32dc57f2-fc16-4a8e-bb51-d59f3168119e&quot;,&quot;properties&quot;:{&quot;noteIndex&quot;:0},&quot;isEdited&quot;:false,&quot;manualOverride&quot;:{&quot;isManuallyOverridden&quot;:false,&quot;citeprocText&quot;:&quot;[6]&quot;,&quot;manualOverrideText&quot;:&quot;&quot;},&quot;citationTag&quot;:&quot;MENDELEY_CITATION_v3_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&quot;,&quot;citationItems&quot;:[{&quot;id&quot;:&quot;97465c58-b1e2-355d-b1e9-b25330cbb2af&quot;,&quot;itemData&quot;:{&quot;type&quot;:&quot;article&quot;,&quot;id&quot;:&quot;97465c58-b1e2-355d-b1e9-b25330cbb2af&quot;,&quot;title&quot;:&quot;Análisis de ciclo de vida del proceso de aprovechamiento y valorización de aceite de cocina usado en Bogotá como materia prima oleoquímica&quot;,&quot;author&quot;:[{&quot;family&quot;:&quot;Torres Ulloa&quot;,&quot;given&quot;:&quot;Paola Andrea&quot;,&quot;parse-names&quot;:false,&quot;dropping-particle&quot;:&quot;&quot;,&quot;non-dropping-particle&quot;:&quot;&quot;}],&quot;URL&quot;:&quot;https://repositorio.unal.edu.co/handle/unal/77282&quot;,&quot;issued&quot;:{&quot;date-parts&quot;:[[2019]]},&quot;abstract&quot;:&quot;La presente investigación presenta los resultados obtenidos de un análisis de ciclo de vida (ACV) para la cadena de aprovechamiento y valorización del aceite de cocina usado generado en Bogotá, al ser transformado en materia prima para la industria oleoquímica. El ACV se implementó sobre la herramienta de software de uso libre OpenLCA. El inventario de emisiones se desarrolló con base en datos recolectados por medio de entrevistas a los actores involucrados en el proceso, referencias bibliográficas, e inventarios de emisiones de la base de datos Ecoinvent v3.4. Se cuantificaron varios impactos ambientales por medio de la metodología CML 2001. Según los resultados, la etapa del proceso que presenta mayor aporte en impactos ambientales es el pretratamiento del aceite recolectado, en particular el uso de energía en el bombeo y en el proceso de rectificación y deshumidificación del aceite a altas temperaturas. Adicionalmente se desarrolló la comparación del escenario de aprovechamiento del aceite de cocina usado respecto al escenario de disposición final como residuo. Lo anterior permitió evidenciar que el aprovechamiento como materia prima oleoquímica es más sostenible que la disposición final del residuo.&quot;,&quot;container-title-short&quot;:&quot;&quot;},&quot;isTemporary&quot;:false,&quot;suppress-author&quot;:false,&quot;composite&quot;:false,&quot;author-only&quot;:false}]},{&quot;citationID&quot;:&quot;MENDELEY_CITATION_8600f1ed-7016-47ec-8acd-770f924e6c99&quot;,&quot;properties&quot;:{&quot;noteIndex&quot;:0},&quot;isEdited&quot;:false,&quot;manualOverride&quot;:{&quot;isManuallyOverridden&quot;:false,&quot;citeprocText&quot;:&quot;[6]&quot;,&quot;manualOverrideText&quot;:&quot;&quot;},&quot;citationTag&quot;:&quot;MENDELEY_CITATION_v3_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&quot;,&quot;citationItems&quot;:[{&quot;id&quot;:&quot;97465c58-b1e2-355d-b1e9-b25330cbb2af&quot;,&quot;itemData&quot;:{&quot;type&quot;:&quot;article&quot;,&quot;id&quot;:&quot;97465c58-b1e2-355d-b1e9-b25330cbb2af&quot;,&quot;title&quot;:&quot;Análisis de ciclo de vida del proceso de aprovechamiento y valorización de aceite de cocina usado en Bogotá como materia prima oleoquímica&quot;,&quot;author&quot;:[{&quot;family&quot;:&quot;Torres Ulloa&quot;,&quot;given&quot;:&quot;Paola Andrea&quot;,&quot;parse-names&quot;:false,&quot;dropping-particle&quot;:&quot;&quot;,&quot;non-dropping-particle&quot;:&quot;&quot;}],&quot;URL&quot;:&quot;https://repositorio.unal.edu.co/handle/unal/77282&quot;,&quot;issued&quot;:{&quot;date-parts&quot;:[[2019]]},&quot;abstract&quot;:&quot;La presente investigación presenta los resultados obtenidos de un análisis de ciclo de vida (ACV) para la cadena de aprovechamiento y valorización del aceite de cocina usado generado en Bogotá, al ser transformado en materia prima para la industria oleoquímica. El ACV se implementó sobre la herramienta de software de uso libre OpenLCA. El inventario de emisiones se desarrolló con base en datos recolectados por medio de entrevistas a los actores involucrados en el proceso, referencias bibliográficas, e inventarios de emisiones de la base de datos Ecoinvent v3.4. Se cuantificaron varios impactos ambientales por medio de la metodología CML 2001. Según los resultados, la etapa del proceso que presenta mayor aporte en impactos ambientales es el pretratamiento del aceite recolectado, en particular el uso de energía en el bombeo y en el proceso de rectificación y deshumidificación del aceite a altas temperaturas. Adicionalmente se desarrolló la comparación del escenario de aprovechamiento del aceite de cocina usado respecto al escenario de disposición final como residuo. Lo anterior permitió evidenciar que el aprovechamiento como materia prima oleoquímica es más sostenible que la disposición final del residuo.&quot;,&quot;container-title-short&quot;:&quot;&quot;},&quot;isTemporary&quot;:false,&quot;suppress-author&quot;:false,&quot;composite&quot;:false,&quot;author-only&quot;:false}]},{&quot;citationID&quot;:&quot;MENDELEY_CITATION_ec698b4c-a7ed-48e3-aaf8-5e27d1740ade&quot;,&quot;properties&quot;:{&quot;noteIndex&quot;:0},&quot;isEdited&quot;:false,&quot;manualOverride&quot;:{&quot;isManuallyOverridden&quot;:false,&quot;citeprocText&quot;:&quot;[7]&quot;,&quot;manualOverrideText&quot;:&quot;&quot;},&quot;citationTag&quot;:&quot;MENDELEY_CITATION_v3_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&quot;,&quot;citationItems&quot;:[{&quot;id&quot;:&quot;2b373019-45c1-3059-a8d5-ffe07f20c0c7&quot;,&quot;itemData&quot;:{&quot;type&quot;:&quot;article-journal&quot;,&quot;id&quot;:&quot;2b373019-45c1-3059-a8d5-ffe07f20c0c7&quot;,&quot;title&quot;:&quot;Impact of sewer overflow on public health: A comprehensive scientometric analysis and systematic review&quot;,&quot;author&quot;:[{&quot;family&quot;:&quot;Sojobi&quot;,&quot;given&quot;:&quot;Adebayo Olatunbosun&quot;,&quot;parse-names&quot;:false,&quot;dropping-particle&quot;:&quot;&quot;,&quot;non-dropping-particle&quot;:&quot;&quot;},{&quot;family&quot;:&quot;Zayed&quot;,&quot;given&quot;:&quot;Tarek&quot;,&quot;parse-names&quot;:false,&quot;dropping-particle&quot;:&quot;&quot;,&quot;non-dropping-particle&quot;:&quot;&quot;}],&quot;container-title&quot;:&quot;Environmental Research&quot;,&quot;container-title-short&quot;:&quot;Environ Res&quot;,&quot;DOI&quot;:&quot;https://doi.org/10.1016/j.envres.2021.111609&quot;,&quot;ISSN&quot;:&quot;0013-9351&quot;,&quot;URL&quot;:&quot;https://www.sciencedirect.com/science/article/pii/S0013935121009038&quot;,&quot;issued&quot;:{&quot;date-parts&quot;:[[2022]]},&quot;page&quot;:&quot;111609&quot;,&quot;abstract&quot;:&quot;Sewer overflow (SO), which has attracted global attention, poses serious threat to public health and ecosystem. SO impacts public health via consumption of contaminated drinking water, aerosolization of pathogens, food-chain transmission, and direct contact with fecally-polluted rivers and beach sediments during recreation. However, no study has attempted to map the linkage between SO and public health including Covid-19 using scientometric analysis and systematic review of literature. Results showed that only few countries were actively involved in SO research in relation to public health. Furthermore, there are renewed calls to scale up environmental surveillance to safeguard public health. To safeguard public health, it is important for public health authorities to optimize water and wastewater treatment plants and improve building ventilation and plumbing systems to minimize pathogen transmission within buildings and transportation systems. In addition, health authorities should formulate appropriate policies that can enhance environmental surveillance and facilitate real-time monitoring of sewer overflow. Increased public awareness on strict personal hygiene and point-of-use-water-treatment such as boiling drinking water will go a long way to safeguard public health. Ecotoxicological studies and health risk assessment of exposure to pathogens via different transmission routes is also required to appropriately inform the use of lockdowns, minimize their socio-economic impact and guide evidence-based welfare/social policy interventions. Soft infrastructures, optimized sewer maintenance and prescreening of sewer overflow are recommended to reduce stormwater burden on wastewater treatment plant, curtail pathogen transmission and marine plastic pollution. Comprehensive, integrated surveillance and global collaborative efforts are important to curtail on-going Covid-19 pandemic and improve resilience against future pandemics.&quot;,&quot;volume&quot;:&quot;203&quot;},&quot;isTemporary&quot;:false,&quot;suppress-author&quot;:false,&quot;composite&quot;:false,&quot;author-only&quot;:false}]},{&quot;citationID&quot;:&quot;MENDELEY_CITATION_ceb1273c-09a0-42fb-aedc-0da39735ab4d&quot;,&quot;properties&quot;:{&quot;noteIndex&quot;:0},&quot;isEdited&quot;:false,&quot;manualOverride&quot;:{&quot;isManuallyOverridden&quot;:false,&quot;citeprocText&quot;:&quot;[8]&quot;,&quot;manualOverrideText&quot;:&quot;&quot;},&quot;citationTag&quot;:&quot;MENDELEY_CITATION_v3_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&quot;,&quot;citationItems&quot;:[{&quot;id&quot;:&quot;6e17f805-709b-3579-9c16-5ec0eccca30f&quot;,&quot;itemData&quot;:{&quot;type&quot;:&quot;article-journal&quot;,&quot;id&quot;:&quot;6e17f805-709b-3579-9c16-5ec0eccca30f&quot;,&quot;title&quot;:&quot;Valorization of used cooking oil: challenges, current developments, life cycle assessment and future prospects&quot;,&quot;author&quot;:[{&quot;family&quot;:&quot;Kumar&quot;,&quot;given&quot;:&quot;Amit&quot;,&quot;parse-names&quot;:false,&quot;dropping-particle&quot;:&quot;&quot;,&quot;non-dropping-particle&quot;:&quot;&quot;},{&quot;family&quot;:&quot;Bhayana&quot;,&quot;given&quot;:&quot;Sanjay&quot;,&quot;parse-names&quot;:false,&quot;dropping-particle&quot;:&quot;&quot;,&quot;non-dropping-particle&quot;:&quot;&quot;},{&quot;family&quot;:&quot;Singh&quot;,&quot;given&quot;:&quot;Priyanka Kumari&quot;,&quot;parse-names&quot;:false,&quot;dropping-particle&quot;:&quot;&quot;,&quot;non-dropping-particle&quot;:&quot;&quot;},{&quot;family&quot;:&quot;Tripathi&quot;,&quot;given&quot;:&quot;Abhishek Dutt&quot;,&quot;parse-names&quot;:false,&quot;dropping-particle&quot;:&quot;&quot;,&quot;non-dropping-particle&quot;:&quot;&quot;},{&quot;family&quot;:&quot;Paul&quot;,&quot;given&quot;:&quot;Veena&quot;,&quot;parse-names&quot;:false,&quot;dropping-particle&quot;:&quot;&quot;,&quot;non-dropping-particle&quot;:&quot;&quot;},{&quot;family&quot;:&quot;Balodi&quot;,&quot;given&quot;:&quot;Vinay&quot;,&quot;parse-names&quot;:false,&quot;dropping-particle&quot;:&quot;&quot;,&quot;non-dropping-particle&quot;:&quot;&quot;},{&quot;family&quot;:&quot;Agarwal&quot;,&quot;given&quot;:&quot;Aparna&quot;,&quot;parse-names&quot;:false,&quot;dropping-particle&quot;:&quot;&quot;,&quot;non-dropping-particle&quot;:&quot;&quot;}],&quot;container-title&quot;:&quot;Discover Sustainability&quot;,&quot;DOI&quot;:&quot;10.1007/s43621-025-00905-7&quot;,&quot;ISSN&quot;:&quot;2662-9984&quot;,&quot;URL&quot;:&quot;https://doi.org/10.1007/s43621-025-00905-7&quot;,&quot;issued&quot;:{&quot;date-parts&quot;:[[2025]]},&quot;page&quot;:&quot;119&quot;,&quot;abstract&quot;:&quot;This review explores the recycling of used cooking oil, a global waste product with an annual production ranging from 41 to 67 million tons, for waste management and resource recovery. It examines the sources and composition of used cooking oil, focusing on its potential as a feedstock for valuable products. The review analyzes biochemical, thermal, and chemical conversion methods for their application in valorization of UCO (Used Cooking Oil). The advanced techniques such as catalytic upgrades, electrochemical conversion, membrane separation, and supercritical fluid extraction have also been investigated for their role in improving efficiency. Although biodiesel is the widely produced product, the review also sheds light on the recent researches for development of plastic, soap and other value-added products from UCO. Using a case study methodology and a review of recent research, the article also addresses challenges like feedstock variability and environmental impacts. It discusses market trends, regulatory frameworks, and potential research directions, aiming to integrate used cooking oil valorization into sustainable waste management and circular economy practices.&quot;,&quot;issue&quot;:&quot;1&quot;,&quot;volume&quot;:&quot;6&quot;,&quot;container-title-short&quot;:&quot;&quot;},&quot;isTemporary&quot;:false,&quot;suppress-author&quot;:false,&quot;composite&quot;:false,&quot;author-only&quot;:false}]},{&quot;citationID&quot;:&quot;MENDELEY_CITATION_c1c4a61b-ea76-4cba-8f47-97b25d02eb7a&quot;,&quot;properties&quot;:{&quot;noteIndex&quot;:0},&quot;isEdited&quot;:false,&quot;manualOverride&quot;:{&quot;isManuallyOverridden&quot;:false,&quot;citeprocText&quot;:&quot;[7]&quot;,&quot;manualOverrideText&quot;:&quot;&quot;},&quot;citationTag&quot;:&quot;MENDELEY_CITATION_v3_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&quot;,&quot;citationItems&quot;:[{&quot;id&quot;:&quot;2b373019-45c1-3059-a8d5-ffe07f20c0c7&quot;,&quot;itemData&quot;:{&quot;type&quot;:&quot;article-journal&quot;,&quot;id&quot;:&quot;2b373019-45c1-3059-a8d5-ffe07f20c0c7&quot;,&quot;title&quot;:&quot;Impact of sewer overflow on public health: A comprehensive scientometric analysis and systematic review&quot;,&quot;author&quot;:[{&quot;family&quot;:&quot;Sojobi&quot;,&quot;given&quot;:&quot;Adebayo Olatunbosun&quot;,&quot;parse-names&quot;:false,&quot;dropping-particle&quot;:&quot;&quot;,&quot;non-dropping-particle&quot;:&quot;&quot;},{&quot;family&quot;:&quot;Zayed&quot;,&quot;given&quot;:&quot;Tarek&quot;,&quot;parse-names&quot;:false,&quot;dropping-particle&quot;:&quot;&quot;,&quot;non-dropping-particle&quot;:&quot;&quot;}],&quot;container-title&quot;:&quot;Environmental Research&quot;,&quot;container-title-short&quot;:&quot;Environ Res&quot;,&quot;DOI&quot;:&quot;https://doi.org/10.1016/j.envres.2021.111609&quot;,&quot;ISSN&quot;:&quot;0013-9351&quot;,&quot;URL&quot;:&quot;https://www.sciencedirect.com/science/article/pii/S0013935121009038&quot;,&quot;issued&quot;:{&quot;date-parts&quot;:[[2022]]},&quot;page&quot;:&quot;111609&quot;,&quot;abstract&quot;:&quot;Sewer overflow (SO), which has attracted global attention, poses serious threat to public health and ecosystem. SO impacts public health via consumption of contaminated drinking water, aerosolization of pathogens, food-chain transmission, and direct contact with fecally-polluted rivers and beach sediments during recreation. However, no study has attempted to map the linkage between SO and public health including Covid-19 using scientometric analysis and systematic review of literature. Results showed that only few countries were actively involved in SO research in relation to public health. Furthermore, there are renewed calls to scale up environmental surveillance to safeguard public health. To safeguard public health, it is important for public health authorities to optimize water and wastewater treatment plants and improve building ventilation and plumbing systems to minimize pathogen transmission within buildings and transportation systems. In addition, health authorities should formulate appropriate policies that can enhance environmental surveillance and facilitate real-time monitoring of sewer overflow. Increased public awareness on strict personal hygiene and point-of-use-water-treatment such as boiling drinking water will go a long way to safeguard public health. Ecotoxicological studies and health risk assessment of exposure to pathogens via different transmission routes is also required to appropriately inform the use of lockdowns, minimize their socio-economic impact and guide evidence-based welfare/social policy interventions. Soft infrastructures, optimized sewer maintenance and prescreening of sewer overflow are recommended to reduce stormwater burden on wastewater treatment plant, curtail pathogen transmission and marine plastic pollution. Comprehensive, integrated surveillance and global collaborative efforts are important to curtail on-going Covid-19 pandemic and improve resilience against future pandemics.&quot;,&quot;volume&quot;:&quot;203&quot;},&quot;isTemporary&quot;:false,&quot;suppress-author&quot;:false,&quot;composite&quot;:false,&quot;author-only&quot;:false}]},{&quot;citationID&quot;:&quot;MENDELEY_CITATION_b34c083c-fef5-4058-bf44-b10a72807c41&quot;,&quot;properties&quot;:{&quot;noteIndex&quot;:0},&quot;isEdited&quot;:false,&quot;manualOverride&quot;:{&quot;isManuallyOverridden&quot;:false,&quot;citeprocText&quot;:&quot;[9]&quot;,&quot;manualOverrideText&quot;:&quot;&quot;},&quot;citationTag&quot;:&quot;MENDELEY_CITATION_v3_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&quot;,&quot;citationItems&quot;:[{&quot;id&quot;:&quot;344caaf1-480c-3b19-81f7-439a18114b02&quot;,&quot;itemData&quot;:{&quot;type&quot;:&quot;article-journal&quot;,&quot;id&quot;:&quot;344caaf1-480c-3b19-81f7-439a18114b02&quot;,&quot;title&quot;:&quot;Assessing the potential of enhanced primary clarification to manage fats, oils and grease (FOG) at wastewater treatment works&quot;,&quot;author&quot;:[{&quot;family&quot;:&quot;Collin&quot;,&quot;given&quot;:&quot;Thomas Denis&quot;,&quot;parse-names&quot;:false,&quot;dropping-particle&quot;:&quot;&quot;,&quot;non-dropping-particle&quot;:&quot;&quot;},{&quot;family&quot;:&quot;Cunningham&quot;,&quot;given&quot;:&quot;Rachel&quot;,&quot;parse-names&quot;:false,&quot;dropping-particle&quot;:&quot;&quot;,&quot;non-dropping-particle&quot;:&quot;&quot;},{&quot;family&quot;:&quot;Asghar&quot;,&quot;given&quot;:&quot;Mohammed Qasim&quot;,&quot;parse-names&quot;:false,&quot;dropping-particle&quot;:&quot;&quot;,&quot;non-dropping-particle&quot;:&quot;&quot;},{&quot;family&quot;:&quot;Villa&quot;,&quot;given&quot;:&quot;Raffaella&quot;,&quot;parse-names&quot;:false,&quot;dropping-particle&quot;:&quot;&quot;,&quot;non-dropping-particle&quot;:&quot;&quot;},{&quot;family&quot;:&quot;MacAdam&quot;,&quot;given&quot;:&quot;Jitka&quot;,&quot;parse-names&quot;:false,&quot;dropping-particle&quot;:&quot;&quot;,&quot;non-dropping-particle&quot;:&quot;&quot;},{&quot;family&quot;:&quot;Jefferson&quot;,&quot;given&quot;:&quot;Bruce&quot;,&quot;parse-names&quot;:false,&quot;dropping-particle&quot;:&quot;&quot;,&quot;non-dropping-particle&quot;:&quot;&quot;}],&quot;container-title&quot;:&quot;Science of The Total Environment&quot;,&quot;DOI&quot;:&quot;https://doi.org/10.1016/j.scitotenv.2020.138415&quot;,&quot;ISSN&quot;:&quot;0048-9697&quot;,&quot;URL&quot;:&quot;https://www.sciencedirect.com/science/article/pii/S0048969720319288&quot;,&quot;issued&quot;:{&quot;date-parts&quot;:[[2020]]},&quot;page&quot;:&quot;138415&quot;,&quot;abstract&quot;:&quot;Daily, sewage treatment works (STWs) receive large volumes of fats, oils and greases (FOG), by-products of food preparation. To increase FOG removal at STW, conventional primary sedimentation tanks (PSTs) can be enhanced using chemical coagulant or through dissolved air flotation (DAF) techniques. This work aimed to assess the potential benefits of enhanced primary treatment for FOG removal through an energy and costs analysis. To achieve this, a five-year sampling programme was conducted monthly at 15 STWs measuring FOG concentrations in crude and settled sewage (i.e. after primary treatment). In addition, two DAF pilot systems were trialled for four months and their performance, in terms of FOG removal, was assessed and compared to that of a control primary clarifier. Across the 15 STWs, influent FOG concentrations were found at 57 ± 11 mg.L−1. Chemical coagulants dosed prior to PSTs increased FOG removal rates on average to 71% whilst traditional sedimentation only achieved 50% removal. Effluent FOG concentrations were found between 12–22 mg.L−1 and 19–36 mg.L−1 respectively. By contrast, DAF achieved FOG effluent concentrations on average at 10 ± 4 mg.L−1 corresponding to 74% removal from a relatively low influent concentration of 40 ± 30 mg.L−1. Thus, enhanced primary treatments have the potential to reduce organic load to secondary treatment and increase energy generation through anaerobic digestion. The overall net energy balance was estimated at 2269 MWh.year−1 for the DAF compared to 3445 MWh.year−1 for the chemically-enhanced PST making it a less financially attractive alternative. Yet, in the case where the works require upgrading to accommodate flow or load increases, DAF appeared as a sensible option over sedimentation offering significantly lower capital costs and footprint. In relation to FOG management, upgrading all STWs is not realistic and will require understanding where the benefits would be the highest.&quot;,&quot;volume&quot;:&quot;728&quot;,&quot;container-title-short&quot;:&quot;&quot;},&quot;isTemporary&quot;:false,&quot;suppress-author&quot;:false,&quot;composite&quot;:false,&quot;author-only&quot;:false}]},{&quot;citationID&quot;:&quot;MENDELEY_CITATION_e6c1b787-27e1-46f5-b9f2-3111e0e4f1c0&quot;,&quot;properties&quot;:{&quot;noteIndex&quot;:0},&quot;isEdited&quot;:false,&quot;manualOverride&quot;:{&quot;isManuallyOverridden&quot;:false,&quot;citeprocText&quot;:&quot;[8]&quot;,&quot;manualOverrideText&quot;:&quot;&quot;},&quot;citationTag&quot;:&quot;MENDELEY_CITATION_v3_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&quot;,&quot;citationItems&quot;:[{&quot;id&quot;:&quot;6e17f805-709b-3579-9c16-5ec0eccca30f&quot;,&quot;itemData&quot;:{&quot;type&quot;:&quot;article-journal&quot;,&quot;id&quot;:&quot;6e17f805-709b-3579-9c16-5ec0eccca30f&quot;,&quot;title&quot;:&quot;Valorization of used cooking oil: challenges, current developments, life cycle assessment and future prospects&quot;,&quot;author&quot;:[{&quot;family&quot;:&quot;Kumar&quot;,&quot;given&quot;:&quot;Amit&quot;,&quot;parse-names&quot;:false,&quot;dropping-particle&quot;:&quot;&quot;,&quot;non-dropping-particle&quot;:&quot;&quot;},{&quot;family&quot;:&quot;Bhayana&quot;,&quot;given&quot;:&quot;Sanjay&quot;,&quot;parse-names&quot;:false,&quot;dropping-particle&quot;:&quot;&quot;,&quot;non-dropping-particle&quot;:&quot;&quot;},{&quot;family&quot;:&quot;Singh&quot;,&quot;given&quot;:&quot;Priyanka Kumari&quot;,&quot;parse-names&quot;:false,&quot;dropping-particle&quot;:&quot;&quot;,&quot;non-dropping-particle&quot;:&quot;&quot;},{&quot;family&quot;:&quot;Tripathi&quot;,&quot;given&quot;:&quot;Abhishek Dutt&quot;,&quot;parse-names&quot;:false,&quot;dropping-particle&quot;:&quot;&quot;,&quot;non-dropping-particle&quot;:&quot;&quot;},{&quot;family&quot;:&quot;Paul&quot;,&quot;given&quot;:&quot;Veena&quot;,&quot;parse-names&quot;:false,&quot;dropping-particle&quot;:&quot;&quot;,&quot;non-dropping-particle&quot;:&quot;&quot;},{&quot;family&quot;:&quot;Balodi&quot;,&quot;given&quot;:&quot;Vinay&quot;,&quot;parse-names&quot;:false,&quot;dropping-particle&quot;:&quot;&quot;,&quot;non-dropping-particle&quot;:&quot;&quot;},{&quot;family&quot;:&quot;Agarwal&quot;,&quot;given&quot;:&quot;Aparna&quot;,&quot;parse-names&quot;:false,&quot;dropping-particle&quot;:&quot;&quot;,&quot;non-dropping-particle&quot;:&quot;&quot;}],&quot;container-title&quot;:&quot;Discover Sustainability&quot;,&quot;DOI&quot;:&quot;10.1007/s43621-025-00905-7&quot;,&quot;ISSN&quot;:&quot;2662-9984&quot;,&quot;URL&quot;:&quot;https://doi.org/10.1007/s43621-025-00905-7&quot;,&quot;issued&quot;:{&quot;date-parts&quot;:[[2025]]},&quot;page&quot;:&quot;119&quot;,&quot;abstract&quot;:&quot;This review explores the recycling of used cooking oil, a global waste product with an annual production ranging from 41 to 67 million tons, for waste management and resource recovery. It examines the sources and composition of used cooking oil, focusing on its potential as a feedstock for valuable products. The review analyzes biochemical, thermal, and chemical conversion methods for their application in valorization of UCO (Used Cooking Oil). The advanced techniques such as catalytic upgrades, electrochemical conversion, membrane separation, and supercritical fluid extraction have also been investigated for their role in improving efficiency. Although biodiesel is the widely produced product, the review also sheds light on the recent researches for development of plastic, soap and other value-added products from UCO. Using a case study methodology and a review of recent research, the article also addresses challenges like feedstock variability and environmental impacts. It discusses market trends, regulatory frameworks, and potential research directions, aiming to integrate used cooking oil valorization into sustainable waste management and circular economy practices.&quot;,&quot;issue&quot;:&quot;1&quot;,&quot;volume&quot;:&quot;6&quot;,&quot;container-title-short&quot;:&quot;&quot;},&quot;isTemporary&quot;:false,&quot;suppress-author&quot;:false,&quot;composite&quot;:false,&quot;author-only&quot;:false}]},{&quot;citationID&quot;:&quot;MENDELEY_CITATION_49b5b480-f3af-4397-addc-d59246a3c6bb&quot;,&quot;properties&quot;:{&quot;noteIndex&quot;:0},&quot;isEdited&quot;:false,&quot;manualOverride&quot;:{&quot;isManuallyOverridden&quot;:false,&quot;citeprocText&quot;:&quot;[10]&quot;,&quot;manualOverrideText&quot;:&quot;&quot;},&quot;citationTag&quot;:&quot;MENDELEY_CITATION_v3_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&quot;,&quot;citationItems&quot;:[{&quot;id&quot;:&quot;e9bd400c-1601-3693-a665-64d833ca9c5f&quot;,&quot;itemData&quot;:{&quot;type&quot;:&quot;article-journal&quot;,&quot;id&quot;:&quot;e9bd400c-1601-3693-a665-64d833ca9c5f&quot;,&quot;title&quot;:&quot;Changes in microbial community structure due to chronic trace element concentrations in different sizes of soil aggregates&quot;,&quot;author&quot;:[{&quot;family&quot;:&quot;Song&quot;,&quot;given&quot;:&quot;Jiuwei&quot;,&quot;parse-names&quot;:false,&quot;dropping-particle&quot;:&quot;&quot;,&quot;non-dropping-particle&quot;:&quot;&quot;},{&quot;family&quot;:&quot;Shen&quot;,&quot;given&quot;:&quot;Qunli&quot;,&quot;parse-names&quot;:false,&quot;dropping-particle&quot;:&quot;&quot;,&quot;non-dropping-particle&quot;:&quot;&quot;},{&quot;family&quot;:&quot;Shi&quot;,&quot;given&quot;:&quot;Jiachun&quot;,&quot;parse-names&quot;:false,&quot;dropping-particle&quot;:&quot;&quot;,&quot;non-dropping-particle&quot;:&quot;&quot;},{&quot;family&quot;:&quot;Xu&quot;,&quot;given&quot;:&quot;Jianming&quot;,&quot;parse-names&quot;:false,&quot;dropping-particle&quot;:&quot;&quot;,&quot;non-dropping-particle&quot;:&quot;&quot;},{&quot;family&quot;:&quot;Brookes&quot;,&quot;given&quot;:&quot;Philip C&quot;,&quot;parse-names&quot;:false,&quot;dropping-particle&quot;:&quot;&quot;,&quot;non-dropping-particle&quot;:&quot;&quot;},{&quot;family&quot;:&quot;Liu&quot;,&quot;given&quot;:&quot;Xingmei&quot;,&quot;parse-names&quot;:false,&quot;dropping-particle&quot;:&quot;&quot;,&quot;non-dropping-particle&quot;:&quot;&quot;}],&quot;container-title&quot;:&quot;Environmental Pollution&quot;,&quot;DOI&quot;:&quot;https://doi.org/10.1016/j.envpol.2020.115933&quot;,&quot;ISSN&quot;:&quot;0269-7491&quot;,&quot;URL&quot;:&quot;https://www.sciencedirect.com/science/article/pii/S0269749120366227&quot;,&quot;issued&quot;:{&quot;date-parts&quot;:[[2021]]},&quot;page&quot;:&quot;115933&quot;,&quot;abstract&quot;:&quot;Studies on the effects of trace elements (TEs) (e.g. Cu, Cd, Zn) on soil microbial communities have provided useful information on the toxicity of TEs to microbes. However, previous studies mainly focused on the effects of TEs on microbial community structure in intact soil, while there are few studies on the impact of TEs on microbial community structure in soil aggregates. In this study, soils previously polluted for 20 years, and now containing low and high TE concentrations derived from, now abandoned, metal smelters were sampled from the surface layer (0–15 cm) of two adjacent Chinese paddy fields. The aim was to determine the effects of TEs on the soil microbial biomass and community structure in different sized soil aggregates. Long-term high TE pollution decreased microbial biomass concentration and species, changed the proportion of bacteria and fungi and decreased the diversity of bacteria in the different sized aggregates. The microbial communities in soil aggregates became clustered with increasing TE concentrations.&quot;,&quot;volume&quot;:&quot;268&quot;,&quot;container-title-short&quot;:&quot;&quot;},&quot;isTemporary&quot;:false,&quot;suppress-author&quot;:false,&quot;composite&quot;:false,&quot;author-only&quot;:false}]},{&quot;citationID&quot;:&quot;MENDELEY_CITATION_8b4dc06d-a49a-4c38-b7d1-0b723b917671&quot;,&quot;properties&quot;:{&quot;noteIndex&quot;:0},&quot;isEdited&quot;:false,&quot;manualOverride&quot;:{&quot;isManuallyOverridden&quot;:false,&quot;citeprocText&quot;:&quot;[11]&quot;,&quot;manualOverrideText&quot;:&quot;&quot;},&quot;citationTag&quot;:&quot;MENDELEY_CITATION_v3_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&quot;,&quot;citationItems&quot;:[{&quot;id&quot;:&quot;07b8ff6f-1ab9-3a66-8a28-8ea26794d574&quot;,&quot;itemData&quot;:{&quot;type&quot;:&quot;article-journal&quot;,&quot;id&quot;:&quot;07b8ff6f-1ab9-3a66-8a28-8ea26794d574&quot;,&quot;title&quot;:&quot;Behaviour of shear strength envelope mixing with usable cooking oil using consolidated drained triaxial test&quot;,&quot;author&quot;:[{&quot;family&quot;:&quot;Abdul Rahman&quot;,&quot;given&quot;:&quot;A S&quot;,&quot;parse-names&quot;:false,&quot;dropping-particle&quot;:&quot;&quot;,&quot;non-dropping-particle&quot;:&quot;&quot;},{&quot;family&quot;:&quot;Sidek&quot;,&quot;given&quot;:&quot;N&quot;,&quot;parse-names&quot;:false,&quot;dropping-particle&quot;:&quot;&quot;,&quot;non-dropping-particle&quot;:&quot;&quot;},{&quot;family&quot;:&quot;Hamzah&quot;,&quot;given&quot;:&quot;N&quot;,&quot;parse-names&quot;:false,&quot;dropping-particle&quot;:&quot;&quot;,&quot;non-dropping-particle&quot;:&quot;&quot;},{&quot;family&quot;:&quot;Ahmad&quot;,&quot;given&quot;:&quot;J&quot;,&quot;parse-names&quot;:false,&quot;dropping-particle&quot;:&quot;&quot;,&quot;non-dropping-particle&quot;:&quot;&quot;},{&quot;family&quot;:&quot;Mohd Fazlan&quot;,&quot;given&quot;:&quot;M I&quot;,&quot;parse-names&quot;:false,&quot;dropping-particle&quot;:&quot;&quot;,&quot;non-dropping-particle&quot;:&quot;&quot;}],&quot;container-title&quot;:&quot;IOP Conference Series: Earth and Environmental Science&quot;,&quot;container-title-short&quot;:&quot;IOP Conf Ser Earth Environ Sci&quot;,&quot;DOI&quot;:&quot;10.1088/1755-1315/476/1/012044&quot;,&quot;ISSN&quot;:&quot;1755-1315&quot;,&quot;URL&quot;:&quot;https://dx.doi.org/10.1088/1755-1315/476/1/012044&quot;,&quot;issued&quot;:{&quot;date-parts&quot;:[[2020]]},&quot;page&quot;:&quot;012044&quot;,&quot;abstract&quot;:&quot;Awareness of peoples towards environmental impact assessment to sustainable development have been progressively increase from time to time. For that reason, this research is focusing on the effect of the usable daily cooking oils to the shear strength of soil which easily thrown into the soil in the backyard of the houses. Due to that, the mixing of oil with water in the soil may lead to reduction in shear strength and thus will lead to failure in a foundation of structures. This study was carried out to investigate the effect of shear strength of soil when mixing with usable cooking oil with 5% and 10% and compared it with the soil without mixing with usable cooking oil using single stage triaxial consolidated drained test. Finding reveal that there is significant reduction in shear strength for control specimens with the mixing of 5% and 10% of usable cooking oil. For control specimens, the shear strength was at 26° of effective friction angles whereas for specimens mixing with 5% and 10% was at 22° and 20° respectively. The shear strength was deduced for about 6° for specimens in natural and mix with 10% of usable cooking oil. In the end, results show that reduction in shear strength will continuously decreased with the increase of the quantities of usable cooking oil and thus will reflect towards the failure of a foundation.&quot;,&quot;publisher&quot;:&quot;IOP Publishing&quot;,&quot;issue&quot;:&quot;1&quot;,&quot;volume&quot;:&quot;476&quot;},&quot;isTemporary&quot;:false,&quot;suppress-author&quot;:false,&quot;composite&quot;:false,&quot;author-only&quot;:false}]},{&quot;citationID&quot;:&quot;MENDELEY_CITATION_1d8d5967-366d-4e1c-90ad-5e51298ecfff&quot;,&quot;properties&quot;:{&quot;noteIndex&quot;:0},&quot;isEdited&quot;:false,&quot;manualOverride&quot;:{&quot;isManuallyOverridden&quot;:false,&quot;citeprocText&quot;:&quot;[12]&quot;,&quot;manualOverrideText&quot;:&quot;&quot;},&quot;citationTag&quot;:&quot;MENDELEY_CITATION_v3_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&quot;,&quot;citationItems&quot;:[{&quot;id&quot;:&quot;2da195e5-c440-3e4b-bad3-a19c34891ec9&quot;,&quot;itemData&quot;:{&quot;type&quot;:&quot;article-journal&quot;,&quot;id&quot;:&quot;2da195e5-c440-3e4b-bad3-a19c34891ec9&quot;,&quot;title&quot;:&quot;Oil contamination drives the transformation of soil microbial communities: Co-occurrence pattern, metabolic enzymes and culturable hydrocarbon-degrading bacteria&quot;,&quot;author&quot;:[{&quot;family&quot;:&quot;Huang&quot;,&quot;given&quot;:&quot;Liping&quot;,&quot;parse-names&quot;:false,&quot;dropping-particle&quot;:&quot;&quot;,&quot;non-dropping-particle&quot;:&quot;&quot;},{&quot;family&quot;:&quot;Ye&quot;,&quot;given&quot;:&quot;Jiangyu&quot;,&quot;parse-names&quot;:false,&quot;dropping-particle&quot;:&quot;&quot;,&quot;non-dropping-particle&quot;:&quot;&quot;},{&quot;family&quot;:&quot;Jiang&quot;,&quot;given&quot;:&quot;Kemei&quot;,&quot;parse-names&quot;:false,&quot;dropping-particle&quot;:&quot;&quot;,&quot;non-dropping-particle&quot;:&quot;&quot;},{&quot;family&quot;:&quot;Wang&quot;,&quot;given&quot;:&quot;Yichao&quot;,&quot;parse-names&quot;:false,&quot;dropping-particle&quot;:&quot;&quot;,&quot;non-dropping-particle&quot;:&quot;&quot;},{&quot;family&quot;:&quot;Li&quot;,&quot;given&quot;:&quot;Yunyi&quot;,&quot;parse-names&quot;:false,&quot;dropping-particle&quot;:&quot;&quot;,&quot;non-dropping-particle&quot;:&quot;&quot;}],&quot;container-title&quot;:&quot;Ecotoxicology and Environmental Safety&quot;,&quot;container-title-short&quot;:&quot;Ecotoxicol Environ Saf&quot;,&quot;DOI&quot;:&quot;https://doi.org/10.1016/j.ecoenv.2021.112740&quot;,&quot;ISSN&quot;:&quot;0147-6513&quot;,&quot;URL&quot;:&quot;https://www.sciencedirect.com/science/article/pii/S0147651321008526&quot;,&quot;issued&quot;:{&quot;date-parts&quot;:[[2021]]},&quot;page&quot;:&quot;112740&quot;,&quot;abstract&quot;:&quot;The land-based oil extraction activity has led to serious pollution of the soil. While microbes may play an important role in the remediation of contaminated soils, ecological effects of oil pollution on soil microbial relationships remain poorly understood. Here, typical contaminated soils and undisturbed soils from seven oilfields of China were investigated in terms of their physicochemical characteristics, indigenous microbial assemblages, bacterial co-occurrence patterns, and metabolic enzymes. Network visualization based on k-core decomposition illustrated that oil pollution reduced correlations between co-existing bacteria. The core genera were altered to those related with oil metabolism (Pseudarthrobacter, Alcanivorax, Sphingomonas, Chromohalobacter and Nocardioides). Under oil pollution pressure, the indigenous bacteria Gammaproteobacteria was domesticated as biomarker and the enzyme expression associated with the metabolism of toxic benzene, toluene, ethylbenzene, xylene and polycyclic aromatic hydrocarbons was enhanced. Functional pathways of xenobiotics biodegradation were also stimulated under oil contamination. Finally, twelve culturable hydrocarbon-degrading microbes were isolated from these polluted soils and classified into Stenotrophomonas, Delftia, Pseudomonas and Bacillus. These results show that the soil microbial communities are transformed under oil pollution stress, and also provide useful information for future bioremediation processes.&quot;,&quot;volume&quot;:&quot;225&quot;},&quot;isTemporary&quot;:false,&quot;suppress-author&quot;:false,&quot;composite&quot;:false,&quot;author-only&quot;:false}]},{&quot;citationID&quot;:&quot;MENDELEY_CITATION_c1201ad5-e6b8-41b2-8fe6-1689601313c6&quot;,&quot;properties&quot;:{&quot;noteIndex&quot;:0},&quot;isEdited&quot;:false,&quot;manualOverride&quot;:{&quot;isManuallyOverridden&quot;:false,&quot;citeprocText&quot;:&quot;[8]&quot;,&quot;manualOverrideText&quot;:&quot;&quot;},&quot;citationTag&quot;:&quot;MENDELEY_CITATION_v3_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&quot;,&quot;citationItems&quot;:[{&quot;id&quot;:&quot;6e17f805-709b-3579-9c16-5ec0eccca30f&quot;,&quot;itemData&quot;:{&quot;type&quot;:&quot;article-journal&quot;,&quot;id&quot;:&quot;6e17f805-709b-3579-9c16-5ec0eccca30f&quot;,&quot;title&quot;:&quot;Valorization of used cooking oil: challenges, current developments, life cycle assessment and future prospects&quot;,&quot;author&quot;:[{&quot;family&quot;:&quot;Kumar&quot;,&quot;given&quot;:&quot;Amit&quot;,&quot;parse-names&quot;:false,&quot;dropping-particle&quot;:&quot;&quot;,&quot;non-dropping-particle&quot;:&quot;&quot;},{&quot;family&quot;:&quot;Bhayana&quot;,&quot;given&quot;:&quot;Sanjay&quot;,&quot;parse-names&quot;:false,&quot;dropping-particle&quot;:&quot;&quot;,&quot;non-dropping-particle&quot;:&quot;&quot;},{&quot;family&quot;:&quot;Singh&quot;,&quot;given&quot;:&quot;Priyanka Kumari&quot;,&quot;parse-names&quot;:false,&quot;dropping-particle&quot;:&quot;&quot;,&quot;non-dropping-particle&quot;:&quot;&quot;},{&quot;family&quot;:&quot;Tripathi&quot;,&quot;given&quot;:&quot;Abhishek Dutt&quot;,&quot;parse-names&quot;:false,&quot;dropping-particle&quot;:&quot;&quot;,&quot;non-dropping-particle&quot;:&quot;&quot;},{&quot;family&quot;:&quot;Paul&quot;,&quot;given&quot;:&quot;Veena&quot;,&quot;parse-names&quot;:false,&quot;dropping-particle&quot;:&quot;&quot;,&quot;non-dropping-particle&quot;:&quot;&quot;},{&quot;family&quot;:&quot;Balodi&quot;,&quot;given&quot;:&quot;Vinay&quot;,&quot;parse-names&quot;:false,&quot;dropping-particle&quot;:&quot;&quot;,&quot;non-dropping-particle&quot;:&quot;&quot;},{&quot;family&quot;:&quot;Agarwal&quot;,&quot;given&quot;:&quot;Aparna&quot;,&quot;parse-names&quot;:false,&quot;dropping-particle&quot;:&quot;&quot;,&quot;non-dropping-particle&quot;:&quot;&quot;}],&quot;container-title&quot;:&quot;Discover Sustainability&quot;,&quot;DOI&quot;:&quot;10.1007/s43621-025-00905-7&quot;,&quot;ISSN&quot;:&quot;2662-9984&quot;,&quot;URL&quot;:&quot;https://doi.org/10.1007/s43621-025-00905-7&quot;,&quot;issued&quot;:{&quot;date-parts&quot;:[[2025]]},&quot;page&quot;:&quot;119&quot;,&quot;abstract&quot;:&quot;This review explores the recycling of used cooking oil, a global waste product with an annual production ranging from 41 to 67 million tons, for waste management and resource recovery. It examines the sources and composition of used cooking oil, focusing on its potential as a feedstock for valuable products. The review analyzes biochemical, thermal, and chemical conversion methods for their application in valorization of UCO (Used Cooking Oil). The advanced techniques such as catalytic upgrades, electrochemical conversion, membrane separation, and supercritical fluid extraction have also been investigated for their role in improving efficiency. Although biodiesel is the widely produced product, the review also sheds light on the recent researches for development of plastic, soap and other value-added products from UCO. Using a case study methodology and a review of recent research, the article also addresses challenges like feedstock variability and environmental impacts. It discusses market trends, regulatory frameworks, and potential research directions, aiming to integrate used cooking oil valorization into sustainable waste management and circular economy practices.&quot;,&quot;issue&quot;:&quot;1&quot;,&quot;volume&quot;:&quot;6&quot;,&quot;container-title-short&quot;:&quot;&quot;},&quot;isTemporary&quot;:false,&quot;suppress-author&quot;:false,&quot;composite&quot;:false,&quot;author-only&quot;:false}]},{&quot;citationID&quot;:&quot;MENDELEY_CITATION_298ee629-c78c-4402-8562-e928e118ac26&quot;,&quot;properties&quot;:{&quot;noteIndex&quot;:0},&quot;isEdited&quot;:false,&quot;manualOverride&quot;:{&quot;isManuallyOverridden&quot;:false,&quot;citeprocText&quot;:&quot;[8]&quot;,&quot;manualOverrideText&quot;:&quot;&quot;},&quot;citationTag&quot;:&quot;MENDELEY_CITATION_v3_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&quot;,&quot;citationItems&quot;:[{&quot;id&quot;:&quot;6e17f805-709b-3579-9c16-5ec0eccca30f&quot;,&quot;itemData&quot;:{&quot;type&quot;:&quot;article-journal&quot;,&quot;id&quot;:&quot;6e17f805-709b-3579-9c16-5ec0eccca30f&quot;,&quot;title&quot;:&quot;Valorization of used cooking oil: challenges, current developments, life cycle assessment and future prospects&quot;,&quot;author&quot;:[{&quot;family&quot;:&quot;Kumar&quot;,&quot;given&quot;:&quot;Amit&quot;,&quot;parse-names&quot;:false,&quot;dropping-particle&quot;:&quot;&quot;,&quot;non-dropping-particle&quot;:&quot;&quot;},{&quot;family&quot;:&quot;Bhayana&quot;,&quot;given&quot;:&quot;Sanjay&quot;,&quot;parse-names&quot;:false,&quot;dropping-particle&quot;:&quot;&quot;,&quot;non-dropping-particle&quot;:&quot;&quot;},{&quot;family&quot;:&quot;Singh&quot;,&quot;given&quot;:&quot;Priyanka Kumari&quot;,&quot;parse-names&quot;:false,&quot;dropping-particle&quot;:&quot;&quot;,&quot;non-dropping-particle&quot;:&quot;&quot;},{&quot;family&quot;:&quot;Tripathi&quot;,&quot;given&quot;:&quot;Abhishek Dutt&quot;,&quot;parse-names&quot;:false,&quot;dropping-particle&quot;:&quot;&quot;,&quot;non-dropping-particle&quot;:&quot;&quot;},{&quot;family&quot;:&quot;Paul&quot;,&quot;given&quot;:&quot;Veena&quot;,&quot;parse-names&quot;:false,&quot;dropping-particle&quot;:&quot;&quot;,&quot;non-dropping-particle&quot;:&quot;&quot;},{&quot;family&quot;:&quot;Balodi&quot;,&quot;given&quot;:&quot;Vinay&quot;,&quot;parse-names&quot;:false,&quot;dropping-particle&quot;:&quot;&quot;,&quot;non-dropping-particle&quot;:&quot;&quot;},{&quot;family&quot;:&quot;Agarwal&quot;,&quot;given&quot;:&quot;Aparna&quot;,&quot;parse-names&quot;:false,&quot;dropping-particle&quot;:&quot;&quot;,&quot;non-dropping-particle&quot;:&quot;&quot;}],&quot;container-title&quot;:&quot;Discover Sustainability&quot;,&quot;DOI&quot;:&quot;10.1007/s43621-025-00905-7&quot;,&quot;ISSN&quot;:&quot;2662-9984&quot;,&quot;URL&quot;:&quot;https://doi.org/10.1007/s43621-025-00905-7&quot;,&quot;issued&quot;:{&quot;date-parts&quot;:[[2025]]},&quot;page&quot;:&quot;119&quot;,&quot;abstract&quot;:&quot;This review explores the recycling of used cooking oil, a global waste product with an annual production ranging from 41 to 67 million tons, for waste management and resource recovery. It examines the sources and composition of used cooking oil, focusing on its potential as a feedstock for valuable products. The review analyzes biochemical, thermal, and chemical conversion methods for their application in valorization of UCO (Used Cooking Oil). The advanced techniques such as catalytic upgrades, electrochemical conversion, membrane separation, and supercritical fluid extraction have also been investigated for their role in improving efficiency. Although biodiesel is the widely produced product, the review also sheds light on the recent researches for development of plastic, soap and other value-added products from UCO. Using a case study methodology and a review of recent research, the article also addresses challenges like feedstock variability and environmental impacts. It discusses market trends, regulatory frameworks, and potential research directions, aiming to integrate used cooking oil valorization into sustainable waste management and circular economy practices.&quot;,&quot;issue&quot;:&quot;1&quot;,&quot;volume&quot;:&quot;6&quot;,&quot;container-title-short&quot;:&quot;&quot;},&quot;isTemporary&quot;:false,&quot;suppress-author&quot;:false,&quot;composite&quot;:false,&quot;author-only&quot;:false}]},{&quot;citationID&quot;:&quot;MENDELEY_CITATION_c8d8975b-bc5d-4d1f-b679-07a20ade7689&quot;,&quot;properties&quot;:{&quot;noteIndex&quot;:0},&quot;isEdited&quot;:false,&quot;manualOverride&quot;:{&quot;isManuallyOverridden&quot;:false,&quot;citeprocText&quot;:&quot;[1]&quot;,&quot;manualOverrideText&quot;:&quot;&quot;},&quot;citationTag&quot;:&quot;MENDELEY_CITATION_v3_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&quot;,&quot;citationItems&quot;:[{&quot;id&quot;:&quot;012900cc-23fb-3d05-b872-62922694fd8c&quot;,&quot;itemData&quot;:{&quot;type&quot;:&quot;article-journal&quot;,&quot;id&quot;:&quot;012900cc-23fb-3d05-b872-62922694fd8c&quot;,&quot;title&quot;:&quot;Quantitative assessment of the valorisation of used cooking oils in 23 countries&quot;,&quot;author&quot;:[{&quot;family&quot;:&quot;Teixeira&quot;,&quot;given&quot;:&quot;Margarida Ribau&quot;,&quot;parse-names&quot;:false,&quot;dropping-particle&quot;:&quot;&quot;,&quot;non-dropping-particle&quot;:&quot;&quot;},{&quot;family&quot;:&quot;Nogueira&quot;,&quot;given&quot;:&quot;Ricardo&quot;,&quot;parse-names&quot;:false,&quot;dropping-particle&quot;:&quot;&quot;,&quot;non-dropping-particle&quot;:&quot;&quot;},{&quot;family&quot;:&quot;Nunes&quot;,&quot;given&quot;:&quot;Luís Miguel&quot;,&quot;parse-names&quot;:false,&quot;dropping-particle&quot;:&quot;&quot;,&quot;non-dropping-particle&quot;:&quot;&quot;}],&quot;container-title&quot;:&quot;Waste Management&quot;,&quot;DOI&quot;:&quot;10.1016/j.wasman.2018.06.039&quot;,&quot;ISSN&quot;:&quot;18792456&quot;,&quot;PMID&quot;:&quot;32559952&quot;,&quot;issued&quot;:{&quot;date-parts&quot;:[[2018,8,1]]},&quot;page&quot;:&quot;611-620&quot;,&quot;abstract&quot;:&quot;The article quantifies, in a set of 23 countries, the amounts consumed of vegetable oils, the amounts of used oils produced after cooking, the amounts available for valorisation, and finally the quantities being valorised. The management practices adopted are also reviewed. Based on data collected, a production factor, relating vegetable oil consumption with used cooking oil production, of 0.32 is proposed. The valorisation factor, which quantifies the fraction of UCO being valorised, is higher in better performing countries (0.749) and worst in the remaining (0.232). Three consumption-valorisation factors, relating consumption with valorisation, were obtained: for high performing countries (0.274); intermediate performing (0.105); and under-performing (0.078). The management systems adopted by the different countries are based on either second-generation economic instruments (USA and Brazil), or on third-generation economic instruments (EU, Argentina, Japan). The former has allowed countries to attain better valorisation rates.&quot;,&quot;publisher&quot;:&quot;Elsevier Ltd&quot;,&quot;volume&quot;:&quot;78&quot;,&quot;container-title-short&quot;:&quot;&quot;},&quot;isTemporary&quot;:false,&quot;suppress-author&quot;:false,&quot;composite&quot;:false,&quot;author-onl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5281F-4FAE-4E6F-9FA6-7A2136140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7127</Words>
  <Characters>39204</Characters>
  <Application>Microsoft Office Word</Application>
  <DocSecurity>0</DocSecurity>
  <Lines>326</Lines>
  <Paragraphs>92</Paragraphs>
  <ScaleCrop>false</ScaleCrop>
  <HeadingPairs>
    <vt:vector size="2" baseType="variant">
      <vt:variant>
        <vt:lpstr>Título</vt:lpstr>
      </vt:variant>
      <vt:variant>
        <vt:i4>1</vt:i4>
      </vt:variant>
    </vt:vector>
  </HeadingPairs>
  <TitlesOfParts>
    <vt:vector size="1" baseType="lpstr">
      <vt:lpstr/>
    </vt:vector>
  </TitlesOfParts>
  <Company>dafp</Company>
  <LinksUpToDate>false</LinksUpToDate>
  <CharactersWithSpaces>46239</CharactersWithSpaces>
  <SharedDoc>false</SharedDoc>
  <HLinks>
    <vt:vector size="18" baseType="variant">
      <vt:variant>
        <vt:i4>5570647</vt:i4>
      </vt:variant>
      <vt:variant>
        <vt:i4>0</vt:i4>
      </vt:variant>
      <vt:variant>
        <vt:i4>0</vt:i4>
      </vt:variant>
      <vt:variant>
        <vt:i4>5</vt:i4>
      </vt:variant>
      <vt:variant>
        <vt:lpwstr>https://economiacircular.minambiente.gov.co/index.php/transicion-a-la-economia-circular/responsabilidad-extendida-del-productor/</vt:lpwstr>
      </vt:variant>
      <vt:variant>
        <vt:lpwstr/>
      </vt:variant>
      <vt:variant>
        <vt:i4>7995435</vt:i4>
      </vt:variant>
      <vt:variant>
        <vt:i4>6</vt:i4>
      </vt:variant>
      <vt:variant>
        <vt:i4>0</vt:i4>
      </vt:variant>
      <vt:variant>
        <vt:i4>5</vt:i4>
      </vt:variant>
      <vt:variant>
        <vt:lpwstr>http://www.minambiente.gov.co/</vt:lpwstr>
      </vt:variant>
      <vt:variant>
        <vt:lpwstr/>
      </vt:variant>
      <vt:variant>
        <vt:i4>7995435</vt:i4>
      </vt:variant>
      <vt:variant>
        <vt:i4>0</vt:i4>
      </vt:variant>
      <vt:variant>
        <vt:i4>0</vt:i4>
      </vt:variant>
      <vt:variant>
        <vt:i4>5</vt:i4>
      </vt:variant>
      <vt:variant>
        <vt:lpwstr>http://www.minambiente.gov.co/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Helber Leonardo Casas Camargo</cp:lastModifiedBy>
  <cp:revision>2</cp:revision>
  <cp:lastPrinted>2024-08-27T13:08:00Z</cp:lastPrinted>
  <dcterms:created xsi:type="dcterms:W3CDTF">2026-07-28T19:19:00Z</dcterms:created>
  <dcterms:modified xsi:type="dcterms:W3CDTF">2026-07-28T19:19:00Z</dcterms:modified>
</cp:coreProperties>
</file>